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7BEC" w14:textId="77777777" w:rsidR="008C4F32" w:rsidRDefault="008C4F32" w:rsidP="000A556A">
      <w:pPr>
        <w:pStyle w:val="NormalWeb"/>
        <w:shd w:val="clear" w:color="auto" w:fill="FFFFFF"/>
        <w:spacing w:before="0" w:beforeAutospacing="0" w:after="0" w:afterAutospacing="0"/>
        <w:rPr>
          <w:rFonts w:ascii="Arial" w:hAnsi="Arial" w:cs="Arial"/>
          <w:color w:val="030303"/>
          <w:sz w:val="22"/>
          <w:szCs w:val="22"/>
        </w:rPr>
      </w:pPr>
    </w:p>
    <w:p w14:paraId="414A4735" w14:textId="12AA2419" w:rsidR="000A556A" w:rsidRPr="008C4F32" w:rsidRDefault="000A556A" w:rsidP="008C4F32">
      <w:pPr>
        <w:pStyle w:val="NormalWeb"/>
        <w:shd w:val="clear" w:color="auto" w:fill="FFFFFF"/>
        <w:spacing w:before="0" w:beforeAutospacing="0" w:after="0" w:afterAutospacing="0"/>
        <w:jc w:val="both"/>
        <w:rPr>
          <w:rFonts w:ascii="Arial" w:hAnsi="Arial" w:cs="Arial"/>
          <w:color w:val="030303"/>
          <w:sz w:val="22"/>
          <w:szCs w:val="22"/>
        </w:rPr>
      </w:pPr>
      <w:r w:rsidRPr="008C4F32">
        <w:rPr>
          <w:rFonts w:ascii="Arial" w:hAnsi="Arial" w:cs="Arial"/>
          <w:color w:val="030303"/>
          <w:sz w:val="22"/>
          <w:szCs w:val="22"/>
        </w:rPr>
        <w:t>Dear Colleagues,</w:t>
      </w:r>
    </w:p>
    <w:p w14:paraId="1BF29795" w14:textId="77777777" w:rsidR="000A556A" w:rsidRPr="008C4F32" w:rsidRDefault="000A556A" w:rsidP="008C4F32">
      <w:pPr>
        <w:pStyle w:val="NormalWeb"/>
        <w:shd w:val="clear" w:color="auto" w:fill="FFFFFF"/>
        <w:spacing w:before="0" w:beforeAutospacing="0" w:after="0" w:afterAutospacing="0"/>
        <w:jc w:val="both"/>
        <w:rPr>
          <w:rFonts w:ascii="Arial" w:hAnsi="Arial" w:cs="Arial"/>
          <w:color w:val="030303"/>
          <w:sz w:val="22"/>
          <w:szCs w:val="22"/>
        </w:rPr>
      </w:pPr>
    </w:p>
    <w:p w14:paraId="4C958178" w14:textId="65C755E1" w:rsidR="000A556A" w:rsidRPr="008C4F32" w:rsidRDefault="000A556A" w:rsidP="008C4F32">
      <w:pPr>
        <w:pStyle w:val="NormalWeb"/>
        <w:shd w:val="clear" w:color="auto" w:fill="FFFFFF"/>
        <w:spacing w:before="0" w:beforeAutospacing="0" w:after="0" w:afterAutospacing="0"/>
        <w:jc w:val="both"/>
        <w:rPr>
          <w:rFonts w:ascii="Arial" w:hAnsi="Arial" w:cs="Arial"/>
          <w:color w:val="030303"/>
          <w:sz w:val="22"/>
          <w:szCs w:val="22"/>
        </w:rPr>
      </w:pPr>
      <w:r w:rsidRPr="008C4F32">
        <w:rPr>
          <w:rFonts w:ascii="Arial" w:hAnsi="Arial" w:cs="Arial"/>
          <w:color w:val="030303"/>
          <w:sz w:val="22"/>
          <w:szCs w:val="22"/>
        </w:rPr>
        <w:t>As you will know, due to </w:t>
      </w:r>
      <w:hyperlink r:id="rId7" w:tgtFrame="_blank" w:tooltip="Original URL: https://primarycarebulletin.cmail20.com/t/d-l-vuutujk-juijbuhdy-k/. Click or tap if you trust this link." w:history="1">
        <w:r w:rsidRPr="008C4F32">
          <w:rPr>
            <w:rStyle w:val="Hyperlink"/>
            <w:rFonts w:ascii="Arial" w:hAnsi="Arial" w:cs="Arial"/>
            <w:color w:val="005EB8"/>
            <w:sz w:val="22"/>
            <w:szCs w:val="22"/>
            <w:bdr w:val="none" w:sz="0" w:space="0" w:color="auto" w:frame="1"/>
          </w:rPr>
          <w:t>rising measles cases in the West Midlands and London</w:t>
        </w:r>
      </w:hyperlink>
      <w:r w:rsidRPr="008C4F32">
        <w:rPr>
          <w:rFonts w:ascii="Arial" w:hAnsi="Arial" w:cs="Arial"/>
          <w:color w:val="030303"/>
          <w:sz w:val="22"/>
          <w:szCs w:val="22"/>
        </w:rPr>
        <w:t>, NHS England has launched a </w:t>
      </w:r>
      <w:hyperlink r:id="rId8" w:tgtFrame="_blank" w:tooltip="Original URL: https://primarycarebulletin.cmail20.com/t/d-l-vuutujk-juijbuhdy-u/. Click or tap if you trust this link." w:history="1">
        <w:r w:rsidRPr="008C4F32">
          <w:rPr>
            <w:rStyle w:val="Hyperlink"/>
            <w:rFonts w:ascii="Arial" w:hAnsi="Arial" w:cs="Arial"/>
            <w:color w:val="005EB8"/>
            <w:sz w:val="22"/>
            <w:szCs w:val="22"/>
            <w:bdr w:val="none" w:sz="0" w:space="0" w:color="auto" w:frame="1"/>
          </w:rPr>
          <w:t>catch-up campaign to increase MMR vaccination coverage, particularly in low uptake areas</w:t>
        </w:r>
      </w:hyperlink>
      <w:r w:rsidRPr="008C4F32">
        <w:rPr>
          <w:rFonts w:ascii="Arial" w:hAnsi="Arial" w:cs="Arial"/>
          <w:color w:val="030303"/>
          <w:sz w:val="22"/>
          <w:szCs w:val="22"/>
        </w:rPr>
        <w:t xml:space="preserve">. </w:t>
      </w:r>
    </w:p>
    <w:p w14:paraId="3073CE8A" w14:textId="6DFEB762" w:rsidR="000A556A" w:rsidRPr="008C4F32" w:rsidRDefault="000A556A" w:rsidP="008C4F32">
      <w:pPr>
        <w:pStyle w:val="NormalWeb"/>
        <w:shd w:val="clear" w:color="auto" w:fill="FFFFFF"/>
        <w:spacing w:before="300" w:beforeAutospacing="0" w:after="0" w:afterAutospacing="0"/>
        <w:jc w:val="both"/>
        <w:rPr>
          <w:rFonts w:ascii="Arial" w:hAnsi="Arial" w:cs="Arial"/>
          <w:color w:val="030303"/>
          <w:sz w:val="22"/>
          <w:szCs w:val="22"/>
        </w:rPr>
      </w:pPr>
      <w:r w:rsidRPr="008C4F32">
        <w:rPr>
          <w:rFonts w:ascii="Arial" w:hAnsi="Arial" w:cs="Arial"/>
          <w:color w:val="030303"/>
          <w:sz w:val="22"/>
          <w:szCs w:val="22"/>
        </w:rPr>
        <w:t xml:space="preserve">From </w:t>
      </w:r>
      <w:r w:rsidR="008C4F32" w:rsidRPr="008C4F32">
        <w:rPr>
          <w:rFonts w:ascii="Arial" w:hAnsi="Arial" w:cs="Arial"/>
          <w:color w:val="030303"/>
          <w:sz w:val="22"/>
          <w:szCs w:val="22"/>
        </w:rPr>
        <w:t xml:space="preserve">5 </w:t>
      </w:r>
      <w:r w:rsidRPr="008C4F32">
        <w:rPr>
          <w:rFonts w:ascii="Arial" w:hAnsi="Arial" w:cs="Arial"/>
          <w:color w:val="030303"/>
          <w:sz w:val="22"/>
          <w:szCs w:val="22"/>
        </w:rPr>
        <w:t>February to March 2024, national MMR call and recall reminders will be sent to unvaccinated or partially vaccinated individuals aged 6-11 years across England, and 6-25 years in specific regions. These reminders will prompt patients to check their MMR immunisation status and, if vaccination is required, to contact general practice and in some areas local school age immunisation providers for vaccination.</w:t>
      </w:r>
      <w:r w:rsidR="007A66B2">
        <w:rPr>
          <w:rFonts w:ascii="Arial" w:hAnsi="Arial" w:cs="Arial"/>
          <w:color w:val="030303"/>
          <w:sz w:val="22"/>
          <w:szCs w:val="22"/>
        </w:rPr>
        <w:t xml:space="preserve"> P</w:t>
      </w:r>
      <w:r w:rsidR="007A66B2" w:rsidRPr="007A66B2">
        <w:rPr>
          <w:rFonts w:ascii="Arial" w:hAnsi="Arial" w:cs="Arial"/>
          <w:color w:val="030303"/>
          <w:sz w:val="22"/>
          <w:szCs w:val="22"/>
        </w:rPr>
        <w:t>lease ensure your reception staff are aware of the national campaign as they are likely to see an increase in calls and requests for appointments.</w:t>
      </w:r>
    </w:p>
    <w:p w14:paraId="58F62C98" w14:textId="77777777" w:rsidR="000A556A" w:rsidRPr="008C4F32" w:rsidRDefault="000A556A" w:rsidP="008C4F32">
      <w:pPr>
        <w:pStyle w:val="NormalWeb"/>
        <w:shd w:val="clear" w:color="auto" w:fill="FFFFFF"/>
        <w:spacing w:before="0" w:beforeAutospacing="0" w:after="0" w:afterAutospacing="0"/>
        <w:jc w:val="both"/>
        <w:rPr>
          <w:rFonts w:ascii="Arial" w:hAnsi="Arial" w:cs="Arial"/>
          <w:color w:val="030303"/>
          <w:sz w:val="22"/>
          <w:szCs w:val="22"/>
        </w:rPr>
      </w:pPr>
    </w:p>
    <w:p w14:paraId="4317B907" w14:textId="238614CC" w:rsidR="000A556A" w:rsidRPr="008C4F32" w:rsidRDefault="000A556A" w:rsidP="008C4F32">
      <w:pPr>
        <w:pStyle w:val="NormalWeb"/>
        <w:shd w:val="clear" w:color="auto" w:fill="FFFFFF"/>
        <w:spacing w:before="0" w:beforeAutospacing="0" w:after="0" w:afterAutospacing="0"/>
        <w:jc w:val="both"/>
        <w:rPr>
          <w:rFonts w:ascii="Arial" w:hAnsi="Arial" w:cs="Arial"/>
          <w:color w:val="030303"/>
          <w:sz w:val="22"/>
          <w:szCs w:val="22"/>
        </w:rPr>
      </w:pPr>
      <w:r w:rsidRPr="008C4F32">
        <w:rPr>
          <w:rFonts w:ascii="Arial" w:hAnsi="Arial" w:cs="Arial"/>
          <w:color w:val="030303"/>
          <w:sz w:val="22"/>
          <w:szCs w:val="22"/>
        </w:rPr>
        <w:t>The public is being advised to check their or their child's vaccination status. This can be via the Red Book or the NHS app (or their GP practice). To support this, the UK Health Security Agency (UKHSA) has released </w:t>
      </w:r>
      <w:hyperlink r:id="rId9" w:tgtFrame="_blank" w:tooltip="Original URL: https://primarycarebulletin.cmail20.com/t/d-l-vuutujk-juijbuhdy-o/. Click or tap if you trust this link." w:history="1">
        <w:r w:rsidRPr="008C4F32">
          <w:rPr>
            <w:rStyle w:val="Hyperlink"/>
            <w:rFonts w:ascii="Arial" w:hAnsi="Arial" w:cs="Arial"/>
            <w:color w:val="005EB8"/>
            <w:sz w:val="22"/>
            <w:szCs w:val="22"/>
            <w:bdr w:val="none" w:sz="0" w:space="0" w:color="auto" w:frame="1"/>
          </w:rPr>
          <w:t>easy-read materials on measles symptoms and actions</w:t>
        </w:r>
      </w:hyperlink>
      <w:r w:rsidRPr="008C4F32">
        <w:rPr>
          <w:rFonts w:ascii="Arial" w:hAnsi="Arial" w:cs="Arial"/>
          <w:color w:val="030303"/>
          <w:sz w:val="22"/>
          <w:szCs w:val="22"/>
        </w:rPr>
        <w:t> and a </w:t>
      </w:r>
      <w:hyperlink r:id="rId10" w:tgtFrame="_blank" w:tooltip="Original URL: https://primarycarebulletin.cmail20.com/t/d-l-vuutujk-juijbuhdy-b/. Click or tap if you trust this link." w:history="1">
        <w:r w:rsidRPr="008C4F32">
          <w:rPr>
            <w:rStyle w:val="Hyperlink"/>
            <w:rFonts w:ascii="Arial" w:hAnsi="Arial" w:cs="Arial"/>
            <w:color w:val="005EB8"/>
            <w:sz w:val="22"/>
            <w:szCs w:val="22"/>
            <w:bdr w:val="none" w:sz="0" w:space="0" w:color="auto" w:frame="1"/>
          </w:rPr>
          <w:t>slide set for primary care</w:t>
        </w:r>
      </w:hyperlink>
      <w:r w:rsidR="008C4F32" w:rsidRPr="008C4F32">
        <w:rPr>
          <w:rFonts w:ascii="Arial" w:hAnsi="Arial" w:cs="Arial"/>
          <w:color w:val="030303"/>
          <w:sz w:val="22"/>
          <w:szCs w:val="22"/>
        </w:rPr>
        <w:t xml:space="preserve"> (which we have attached)</w:t>
      </w:r>
      <w:r w:rsidRPr="008C4F32">
        <w:rPr>
          <w:rFonts w:ascii="Arial" w:hAnsi="Arial" w:cs="Arial"/>
          <w:color w:val="030303"/>
          <w:sz w:val="22"/>
          <w:szCs w:val="22"/>
        </w:rPr>
        <w:t>. </w:t>
      </w:r>
      <w:hyperlink r:id="rId11" w:tgtFrame="_blank" w:tooltip="Original URL: https://primarycarebulletin.cmail20.com/t/d-l-vuutujk-juijbuhdy-n/. Click or tap if you trust this link." w:history="1">
        <w:r w:rsidRPr="008C4F32">
          <w:rPr>
            <w:rStyle w:val="Hyperlink"/>
            <w:rFonts w:ascii="Arial" w:hAnsi="Arial" w:cs="Arial"/>
            <w:color w:val="005EB8"/>
            <w:sz w:val="22"/>
            <w:szCs w:val="22"/>
            <w:bdr w:val="none" w:sz="0" w:space="0" w:color="auto" w:frame="1"/>
          </w:rPr>
          <w:t>MMR materials can be downloaded and ordered for free on the health publications website</w:t>
        </w:r>
      </w:hyperlink>
      <w:r w:rsidRPr="008C4F32">
        <w:rPr>
          <w:rFonts w:ascii="Arial" w:hAnsi="Arial" w:cs="Arial"/>
          <w:color w:val="030303"/>
          <w:sz w:val="22"/>
          <w:szCs w:val="22"/>
        </w:rPr>
        <w:t>.</w:t>
      </w:r>
    </w:p>
    <w:p w14:paraId="36872A1C" w14:textId="77777777" w:rsidR="008C4F32" w:rsidRPr="008C4F32" w:rsidRDefault="008C4F32" w:rsidP="008C4F32">
      <w:pPr>
        <w:pStyle w:val="NormalWeb"/>
        <w:shd w:val="clear" w:color="auto" w:fill="FFFFFF"/>
        <w:spacing w:before="0" w:beforeAutospacing="0" w:after="0" w:afterAutospacing="0"/>
        <w:jc w:val="both"/>
        <w:rPr>
          <w:rFonts w:ascii="Arial" w:hAnsi="Arial" w:cs="Arial"/>
          <w:color w:val="030303"/>
          <w:sz w:val="22"/>
          <w:szCs w:val="22"/>
        </w:rPr>
      </w:pPr>
    </w:p>
    <w:p w14:paraId="658DB8C3" w14:textId="7CCBD076" w:rsidR="008C4F32" w:rsidRPr="008C4F32" w:rsidRDefault="008C4F32" w:rsidP="008C4F32">
      <w:pPr>
        <w:pStyle w:val="NormalWeb"/>
        <w:shd w:val="clear" w:color="auto" w:fill="FFFFFF"/>
        <w:spacing w:before="0" w:beforeAutospacing="0" w:after="0" w:afterAutospacing="0"/>
        <w:jc w:val="both"/>
        <w:rPr>
          <w:rFonts w:ascii="Arial" w:hAnsi="Arial" w:cs="Arial"/>
          <w:color w:val="030303"/>
          <w:sz w:val="22"/>
          <w:szCs w:val="22"/>
        </w:rPr>
      </w:pPr>
      <w:r w:rsidRPr="008C4F32">
        <w:rPr>
          <w:rFonts w:ascii="Arial" w:hAnsi="Arial" w:cs="Arial"/>
          <w:color w:val="030303"/>
          <w:sz w:val="22"/>
          <w:szCs w:val="22"/>
        </w:rPr>
        <w:t>There is localised information about MMR</w:t>
      </w:r>
      <w:r>
        <w:rPr>
          <w:rFonts w:ascii="Arial" w:hAnsi="Arial" w:cs="Arial"/>
          <w:color w:val="030303"/>
          <w:sz w:val="22"/>
          <w:szCs w:val="22"/>
        </w:rPr>
        <w:t xml:space="preserve"> vaccinations for the public</w:t>
      </w:r>
      <w:r w:rsidRPr="008C4F32">
        <w:rPr>
          <w:rFonts w:ascii="Arial" w:hAnsi="Arial" w:cs="Arial"/>
          <w:color w:val="030303"/>
          <w:sz w:val="22"/>
          <w:szCs w:val="22"/>
        </w:rPr>
        <w:t xml:space="preserve">, which includes frequently </w:t>
      </w:r>
      <w:r>
        <w:rPr>
          <w:rFonts w:ascii="Arial" w:hAnsi="Arial" w:cs="Arial"/>
          <w:color w:val="030303"/>
          <w:sz w:val="22"/>
          <w:szCs w:val="22"/>
        </w:rPr>
        <w:t>a</w:t>
      </w:r>
      <w:r w:rsidRPr="008C4F32">
        <w:rPr>
          <w:rFonts w:ascii="Arial" w:hAnsi="Arial" w:cs="Arial"/>
          <w:color w:val="030303"/>
          <w:sz w:val="22"/>
          <w:szCs w:val="22"/>
        </w:rPr>
        <w:t xml:space="preserve">sked questions, on the </w:t>
      </w:r>
      <w:hyperlink r:id="rId12" w:history="1">
        <w:r w:rsidRPr="008C4F32">
          <w:rPr>
            <w:rStyle w:val="Hyperlink"/>
            <w:rFonts w:ascii="Arial" w:hAnsi="Arial" w:cs="Arial"/>
            <w:sz w:val="22"/>
            <w:szCs w:val="22"/>
          </w:rPr>
          <w:t>NHS Nottingham and Nottinghamshire Integrated Care Board website.</w:t>
        </w:r>
      </w:hyperlink>
      <w:r w:rsidRPr="008C4F32">
        <w:rPr>
          <w:rFonts w:ascii="Arial" w:hAnsi="Arial" w:cs="Arial"/>
          <w:color w:val="030303"/>
          <w:sz w:val="22"/>
          <w:szCs w:val="22"/>
        </w:rPr>
        <w:t xml:space="preserve"> </w:t>
      </w:r>
    </w:p>
    <w:p w14:paraId="0D0A96A2" w14:textId="77777777" w:rsidR="000A556A" w:rsidRPr="008C4F32" w:rsidRDefault="000A556A" w:rsidP="008C4F32">
      <w:pPr>
        <w:pStyle w:val="NormalWeb"/>
        <w:shd w:val="clear" w:color="auto" w:fill="FFFFFF"/>
        <w:spacing w:before="0" w:beforeAutospacing="0" w:after="0" w:afterAutospacing="0"/>
        <w:jc w:val="both"/>
        <w:rPr>
          <w:rFonts w:ascii="Arial" w:hAnsi="Arial" w:cs="Arial"/>
          <w:color w:val="030303"/>
          <w:sz w:val="22"/>
          <w:szCs w:val="22"/>
        </w:rPr>
      </w:pPr>
    </w:p>
    <w:p w14:paraId="5FAC1F23" w14:textId="05D46F8D" w:rsidR="000A556A" w:rsidRPr="008C4F32" w:rsidRDefault="008C4F32" w:rsidP="008C4F32">
      <w:pPr>
        <w:pStyle w:val="NormalWeb"/>
        <w:shd w:val="clear" w:color="auto" w:fill="FFFFFF"/>
        <w:spacing w:before="0" w:beforeAutospacing="0" w:after="0" w:afterAutospacing="0"/>
        <w:jc w:val="both"/>
        <w:rPr>
          <w:rFonts w:ascii="Arial" w:hAnsi="Arial" w:cs="Arial"/>
          <w:b/>
          <w:bCs/>
          <w:color w:val="030303"/>
          <w:sz w:val="22"/>
          <w:szCs w:val="22"/>
        </w:rPr>
      </w:pPr>
      <w:r w:rsidRPr="008C4F32">
        <w:rPr>
          <w:rFonts w:ascii="Arial" w:hAnsi="Arial" w:cs="Arial"/>
          <w:b/>
          <w:bCs/>
          <w:color w:val="030303"/>
          <w:sz w:val="22"/>
          <w:szCs w:val="22"/>
        </w:rPr>
        <w:t>Important information for primary care:</w:t>
      </w:r>
    </w:p>
    <w:p w14:paraId="21904652" w14:textId="77777777" w:rsidR="000A556A" w:rsidRPr="000A556A" w:rsidRDefault="000A556A" w:rsidP="008C4F32">
      <w:pPr>
        <w:pStyle w:val="NormalWeb"/>
        <w:shd w:val="clear" w:color="auto" w:fill="FFFFFF"/>
        <w:spacing w:before="0"/>
        <w:jc w:val="both"/>
        <w:rPr>
          <w:rFonts w:ascii="Arial" w:hAnsi="Arial" w:cs="Arial"/>
          <w:color w:val="030303"/>
          <w:sz w:val="22"/>
          <w:szCs w:val="22"/>
        </w:rPr>
      </w:pPr>
      <w:r w:rsidRPr="000A556A">
        <w:rPr>
          <w:rFonts w:ascii="Arial" w:hAnsi="Arial" w:cs="Arial"/>
          <w:b/>
          <w:bCs/>
          <w:color w:val="030303"/>
          <w:sz w:val="22"/>
          <w:szCs w:val="22"/>
        </w:rPr>
        <w:t xml:space="preserve">Make Every Contact Count (MECC) </w:t>
      </w:r>
      <w:r w:rsidRPr="000A556A">
        <w:rPr>
          <w:rFonts w:ascii="Arial" w:hAnsi="Arial" w:cs="Arial"/>
          <w:color w:val="030303"/>
          <w:sz w:val="22"/>
          <w:szCs w:val="22"/>
        </w:rPr>
        <w:t xml:space="preserve">- check immunisation history of every patient, especially for children, new registrations, new migrants, </w:t>
      </w:r>
      <w:proofErr w:type="gramStart"/>
      <w:r w:rsidRPr="000A556A">
        <w:rPr>
          <w:rFonts w:ascii="Arial" w:hAnsi="Arial" w:cs="Arial"/>
          <w:color w:val="030303"/>
          <w:sz w:val="22"/>
          <w:szCs w:val="22"/>
        </w:rPr>
        <w:t>refugees</w:t>
      </w:r>
      <w:proofErr w:type="gramEnd"/>
      <w:r w:rsidRPr="000A556A">
        <w:rPr>
          <w:rFonts w:ascii="Arial" w:hAnsi="Arial" w:cs="Arial"/>
          <w:color w:val="030303"/>
          <w:sz w:val="22"/>
          <w:szCs w:val="22"/>
        </w:rPr>
        <w:t xml:space="preserve"> and asylum seekers.</w:t>
      </w:r>
    </w:p>
    <w:p w14:paraId="36E684AB" w14:textId="62630847" w:rsidR="000A556A" w:rsidRPr="000A556A" w:rsidRDefault="000A556A" w:rsidP="008C4F32">
      <w:pPr>
        <w:pStyle w:val="NormalWeb"/>
        <w:shd w:val="clear" w:color="auto" w:fill="FFFFFF"/>
        <w:spacing w:before="0"/>
        <w:jc w:val="both"/>
        <w:rPr>
          <w:rFonts w:ascii="Arial" w:hAnsi="Arial" w:cs="Arial"/>
          <w:color w:val="030303"/>
          <w:sz w:val="22"/>
          <w:szCs w:val="22"/>
        </w:rPr>
      </w:pPr>
      <w:r w:rsidRPr="000A556A">
        <w:rPr>
          <w:rFonts w:ascii="Arial" w:hAnsi="Arial" w:cs="Arial"/>
          <w:b/>
          <w:bCs/>
          <w:color w:val="030303"/>
          <w:sz w:val="22"/>
          <w:szCs w:val="22"/>
        </w:rPr>
        <w:t xml:space="preserve">Offer/recommend </w:t>
      </w:r>
      <w:r w:rsidR="008C4F32" w:rsidRPr="008C4F32">
        <w:rPr>
          <w:rFonts w:ascii="Arial" w:hAnsi="Arial" w:cs="Arial"/>
          <w:b/>
          <w:bCs/>
          <w:color w:val="030303"/>
          <w:sz w:val="22"/>
          <w:szCs w:val="22"/>
        </w:rPr>
        <w:t xml:space="preserve">the MMR </w:t>
      </w:r>
      <w:r w:rsidRPr="000A556A">
        <w:rPr>
          <w:rFonts w:ascii="Arial" w:hAnsi="Arial" w:cs="Arial"/>
          <w:b/>
          <w:bCs/>
          <w:color w:val="030303"/>
          <w:sz w:val="22"/>
          <w:szCs w:val="22"/>
        </w:rPr>
        <w:t>vaccine if unvaccinated:</w:t>
      </w:r>
    </w:p>
    <w:p w14:paraId="447C5589" w14:textId="77777777" w:rsidR="000A556A" w:rsidRPr="000A556A" w:rsidRDefault="000A556A" w:rsidP="008C4F32">
      <w:pPr>
        <w:pStyle w:val="NormalWeb"/>
        <w:numPr>
          <w:ilvl w:val="1"/>
          <w:numId w:val="1"/>
        </w:numPr>
        <w:shd w:val="clear" w:color="auto" w:fill="FFFFFF"/>
        <w:spacing w:before="0"/>
        <w:jc w:val="both"/>
        <w:rPr>
          <w:rFonts w:ascii="Arial" w:hAnsi="Arial" w:cs="Arial"/>
          <w:color w:val="030303"/>
          <w:sz w:val="22"/>
          <w:szCs w:val="22"/>
        </w:rPr>
      </w:pPr>
      <w:r w:rsidRPr="000A556A">
        <w:rPr>
          <w:rFonts w:ascii="Arial" w:hAnsi="Arial" w:cs="Arial"/>
          <w:color w:val="030303"/>
          <w:sz w:val="22"/>
          <w:szCs w:val="22"/>
        </w:rPr>
        <w:t xml:space="preserve">children should receive 2 doses of MMR vaccine routinely at age 12 months and 3 years and 4 </w:t>
      </w:r>
      <w:proofErr w:type="gramStart"/>
      <w:r w:rsidRPr="000A556A">
        <w:rPr>
          <w:rFonts w:ascii="Arial" w:hAnsi="Arial" w:cs="Arial"/>
          <w:color w:val="030303"/>
          <w:sz w:val="22"/>
          <w:szCs w:val="22"/>
        </w:rPr>
        <w:t>months</w:t>
      </w:r>
      <w:proofErr w:type="gramEnd"/>
    </w:p>
    <w:p w14:paraId="70EA3232" w14:textId="77777777" w:rsidR="000A556A" w:rsidRPr="000A556A" w:rsidRDefault="000A556A" w:rsidP="008C4F32">
      <w:pPr>
        <w:pStyle w:val="NormalWeb"/>
        <w:numPr>
          <w:ilvl w:val="1"/>
          <w:numId w:val="1"/>
        </w:numPr>
        <w:shd w:val="clear" w:color="auto" w:fill="FFFFFF"/>
        <w:spacing w:before="0"/>
        <w:jc w:val="both"/>
        <w:rPr>
          <w:rFonts w:ascii="Arial" w:hAnsi="Arial" w:cs="Arial"/>
          <w:color w:val="030303"/>
          <w:sz w:val="22"/>
          <w:szCs w:val="22"/>
        </w:rPr>
      </w:pPr>
      <w:r w:rsidRPr="000A556A">
        <w:rPr>
          <w:rFonts w:ascii="Arial" w:hAnsi="Arial" w:cs="Arial"/>
          <w:color w:val="030303"/>
          <w:sz w:val="22"/>
          <w:szCs w:val="22"/>
        </w:rPr>
        <w:t xml:space="preserve">older children and adults who are unvaccinated or partially vaccinated should also be offered vaccination. There is no upper age limit – 2 doses should be given at least 4 weeks apart. It is safe to receive an extra MMR </w:t>
      </w:r>
      <w:proofErr w:type="gramStart"/>
      <w:r w:rsidRPr="000A556A">
        <w:rPr>
          <w:rFonts w:ascii="Arial" w:hAnsi="Arial" w:cs="Arial"/>
          <w:color w:val="030303"/>
          <w:sz w:val="22"/>
          <w:szCs w:val="22"/>
        </w:rPr>
        <w:t>dose</w:t>
      </w:r>
      <w:proofErr w:type="gramEnd"/>
    </w:p>
    <w:p w14:paraId="6394A8AA" w14:textId="77777777" w:rsidR="000A556A" w:rsidRPr="000A556A" w:rsidRDefault="000A556A" w:rsidP="008C4F32">
      <w:pPr>
        <w:pStyle w:val="NormalWeb"/>
        <w:numPr>
          <w:ilvl w:val="1"/>
          <w:numId w:val="1"/>
        </w:numPr>
        <w:shd w:val="clear" w:color="auto" w:fill="FFFFFF"/>
        <w:spacing w:before="0"/>
        <w:jc w:val="both"/>
        <w:rPr>
          <w:rFonts w:ascii="Arial" w:hAnsi="Arial" w:cs="Arial"/>
          <w:color w:val="030303"/>
          <w:sz w:val="22"/>
          <w:szCs w:val="22"/>
        </w:rPr>
      </w:pPr>
      <w:r w:rsidRPr="000A556A">
        <w:rPr>
          <w:rFonts w:ascii="Arial" w:hAnsi="Arial" w:cs="Arial"/>
          <w:color w:val="030303"/>
          <w:sz w:val="22"/>
          <w:szCs w:val="22"/>
          <w:lang w:val="en-US"/>
        </w:rPr>
        <w:t xml:space="preserve">individuals born before 1970 are likely to have had natural infection with measles, mumps and rubella and are unlikely to be susceptible. MMR vaccine should be offered to such individuals on request or if they </w:t>
      </w:r>
      <w:proofErr w:type="gramStart"/>
      <w:r w:rsidRPr="000A556A">
        <w:rPr>
          <w:rFonts w:ascii="Arial" w:hAnsi="Arial" w:cs="Arial"/>
          <w:color w:val="030303"/>
          <w:sz w:val="22"/>
          <w:szCs w:val="22"/>
          <w:lang w:val="en-US"/>
        </w:rPr>
        <w:t>are considered to be</w:t>
      </w:r>
      <w:proofErr w:type="gramEnd"/>
      <w:r w:rsidRPr="000A556A">
        <w:rPr>
          <w:rFonts w:ascii="Arial" w:hAnsi="Arial" w:cs="Arial"/>
          <w:color w:val="030303"/>
          <w:sz w:val="22"/>
          <w:szCs w:val="22"/>
          <w:lang w:val="en-US"/>
        </w:rPr>
        <w:t xml:space="preserve"> at high risk of exposure. </w:t>
      </w:r>
    </w:p>
    <w:p w14:paraId="59176F60" w14:textId="387FE341" w:rsidR="000A556A" w:rsidRPr="008C4F32" w:rsidRDefault="000A556A" w:rsidP="008C4F32">
      <w:pPr>
        <w:pStyle w:val="NormalWeb"/>
        <w:shd w:val="clear" w:color="auto" w:fill="FFFFFF"/>
        <w:spacing w:before="0"/>
        <w:jc w:val="both"/>
        <w:rPr>
          <w:rFonts w:ascii="Arial" w:hAnsi="Arial" w:cs="Arial"/>
          <w:color w:val="030303"/>
          <w:sz w:val="22"/>
          <w:szCs w:val="22"/>
          <w:lang w:val="en-US"/>
        </w:rPr>
      </w:pPr>
      <w:r w:rsidRPr="000A556A">
        <w:rPr>
          <w:rFonts w:ascii="Arial" w:hAnsi="Arial" w:cs="Arial"/>
          <w:b/>
          <w:bCs/>
          <w:color w:val="030303"/>
          <w:sz w:val="22"/>
          <w:szCs w:val="22"/>
        </w:rPr>
        <w:t>Staff involved in direct patient care</w:t>
      </w:r>
      <w:r w:rsidR="008C4F32" w:rsidRPr="008C4F32">
        <w:rPr>
          <w:rFonts w:ascii="Arial" w:hAnsi="Arial" w:cs="Arial"/>
          <w:b/>
          <w:bCs/>
          <w:color w:val="030303"/>
          <w:sz w:val="22"/>
          <w:szCs w:val="22"/>
        </w:rPr>
        <w:t xml:space="preserve"> </w:t>
      </w:r>
      <w:r w:rsidRPr="000A556A">
        <w:rPr>
          <w:rFonts w:ascii="Arial" w:hAnsi="Arial" w:cs="Arial"/>
          <w:color w:val="030303"/>
          <w:sz w:val="22"/>
          <w:szCs w:val="22"/>
        </w:rPr>
        <w:t xml:space="preserve">(including reception staff / anyone who has contact with patients) should have documented evidence of 2 doses of the MMR vaccine or have positive antibody tests for measles and rubella, in keeping with </w:t>
      </w:r>
      <w:hyperlink r:id="rId13" w:history="1">
        <w:r w:rsidRPr="000A556A">
          <w:rPr>
            <w:rStyle w:val="Hyperlink"/>
            <w:rFonts w:ascii="Arial" w:hAnsi="Arial" w:cs="Arial"/>
            <w:sz w:val="22"/>
            <w:szCs w:val="22"/>
          </w:rPr>
          <w:t>national guidance</w:t>
        </w:r>
      </w:hyperlink>
      <w:r w:rsidRPr="000A556A">
        <w:rPr>
          <w:rFonts w:ascii="Arial" w:hAnsi="Arial" w:cs="Arial"/>
          <w:color w:val="030303"/>
          <w:sz w:val="22"/>
          <w:szCs w:val="22"/>
        </w:rPr>
        <w:t xml:space="preserve">. This is important to protect themselves, their families and </w:t>
      </w:r>
      <w:r w:rsidRPr="000A556A">
        <w:rPr>
          <w:rFonts w:ascii="Arial" w:hAnsi="Arial" w:cs="Arial"/>
          <w:color w:val="030303"/>
          <w:sz w:val="22"/>
          <w:szCs w:val="22"/>
          <w:lang w:val="en-US"/>
        </w:rPr>
        <w:t xml:space="preserve">prevent transmission of measles in health care settings. </w:t>
      </w:r>
    </w:p>
    <w:p w14:paraId="6EA66288" w14:textId="1D3DFF8B" w:rsidR="000A556A" w:rsidRPr="008C4F32" w:rsidRDefault="000A556A" w:rsidP="008C4F32">
      <w:pPr>
        <w:pStyle w:val="NormalWeb"/>
        <w:shd w:val="clear" w:color="auto" w:fill="FFFFFF"/>
        <w:spacing w:before="0"/>
        <w:jc w:val="both"/>
        <w:rPr>
          <w:rFonts w:ascii="Arial" w:hAnsi="Arial" w:cs="Arial"/>
          <w:color w:val="030303"/>
          <w:sz w:val="22"/>
          <w:szCs w:val="22"/>
        </w:rPr>
      </w:pPr>
      <w:r w:rsidRPr="008C4F32">
        <w:rPr>
          <w:rFonts w:ascii="Arial" w:hAnsi="Arial" w:cs="Arial"/>
          <w:b/>
          <w:bCs/>
          <w:color w:val="030303"/>
          <w:sz w:val="22"/>
          <w:szCs w:val="22"/>
          <w:lang w:val="en-US"/>
        </w:rPr>
        <w:t>Order plenty of stock</w:t>
      </w:r>
      <w:r w:rsidRPr="008C4F32">
        <w:rPr>
          <w:rFonts w:ascii="Arial" w:hAnsi="Arial" w:cs="Arial"/>
          <w:color w:val="030303"/>
          <w:sz w:val="22"/>
          <w:szCs w:val="22"/>
          <w:lang w:val="en-US"/>
        </w:rPr>
        <w:t xml:space="preserve"> - </w:t>
      </w:r>
      <w:r w:rsidRPr="000A556A">
        <w:rPr>
          <w:rFonts w:ascii="Arial" w:hAnsi="Arial" w:cs="Arial"/>
          <w:color w:val="030303"/>
          <w:sz w:val="22"/>
          <w:szCs w:val="22"/>
        </w:rPr>
        <w:t xml:space="preserve">there are 2 MMR vaccines currently available for use in the NHS: </w:t>
      </w:r>
      <w:proofErr w:type="spellStart"/>
      <w:r w:rsidRPr="000A556A">
        <w:rPr>
          <w:rFonts w:ascii="Arial" w:hAnsi="Arial" w:cs="Arial"/>
          <w:color w:val="030303"/>
          <w:sz w:val="22"/>
          <w:szCs w:val="22"/>
        </w:rPr>
        <w:t>Priorix</w:t>
      </w:r>
      <w:proofErr w:type="spellEnd"/>
      <w:r w:rsidRPr="000A556A">
        <w:rPr>
          <w:rFonts w:ascii="Arial" w:hAnsi="Arial" w:cs="Arial"/>
          <w:color w:val="030303"/>
          <w:sz w:val="22"/>
          <w:szCs w:val="22"/>
        </w:rPr>
        <w:t xml:space="preserve"> and </w:t>
      </w:r>
      <w:proofErr w:type="spellStart"/>
      <w:r w:rsidRPr="000A556A">
        <w:rPr>
          <w:rFonts w:ascii="Arial" w:hAnsi="Arial" w:cs="Arial"/>
          <w:color w:val="030303"/>
          <w:sz w:val="22"/>
          <w:szCs w:val="22"/>
        </w:rPr>
        <w:t>MMRVaxPro</w:t>
      </w:r>
      <w:proofErr w:type="spellEnd"/>
      <w:r w:rsidRPr="008C4F32">
        <w:rPr>
          <w:rFonts w:ascii="Arial" w:hAnsi="Arial" w:cs="Arial"/>
          <w:color w:val="030303"/>
          <w:sz w:val="22"/>
          <w:szCs w:val="22"/>
        </w:rPr>
        <w:t>. P</w:t>
      </w:r>
      <w:r w:rsidRPr="000A556A">
        <w:rPr>
          <w:rFonts w:ascii="Arial" w:hAnsi="Arial" w:cs="Arial"/>
          <w:color w:val="030303"/>
          <w:sz w:val="22"/>
          <w:szCs w:val="22"/>
        </w:rPr>
        <w:t xml:space="preserve">ractices who serve communities who prefer porcine gelatine free products should order </w:t>
      </w:r>
      <w:proofErr w:type="spellStart"/>
      <w:r w:rsidRPr="000A556A">
        <w:rPr>
          <w:rFonts w:ascii="Arial" w:hAnsi="Arial" w:cs="Arial"/>
          <w:color w:val="030303"/>
          <w:sz w:val="22"/>
          <w:szCs w:val="22"/>
        </w:rPr>
        <w:t>Priorix</w:t>
      </w:r>
      <w:proofErr w:type="spellEnd"/>
      <w:r w:rsidRPr="000A556A">
        <w:rPr>
          <w:rFonts w:ascii="Arial" w:hAnsi="Arial" w:cs="Arial"/>
          <w:color w:val="030303"/>
          <w:sz w:val="22"/>
          <w:szCs w:val="22"/>
        </w:rPr>
        <w:t xml:space="preserve"> preferentially via </w:t>
      </w:r>
      <w:proofErr w:type="spellStart"/>
      <w:r w:rsidRPr="000A556A">
        <w:rPr>
          <w:rFonts w:ascii="Arial" w:hAnsi="Arial" w:cs="Arial"/>
          <w:color w:val="030303"/>
          <w:sz w:val="22"/>
          <w:szCs w:val="22"/>
        </w:rPr>
        <w:t>Immform</w:t>
      </w:r>
      <w:proofErr w:type="spellEnd"/>
      <w:r w:rsidR="008C4F32" w:rsidRPr="008C4F32">
        <w:rPr>
          <w:rFonts w:ascii="Arial" w:hAnsi="Arial" w:cs="Arial"/>
          <w:color w:val="030303"/>
          <w:sz w:val="22"/>
          <w:szCs w:val="22"/>
        </w:rPr>
        <w:t>.</w:t>
      </w:r>
    </w:p>
    <w:p w14:paraId="106D2142" w14:textId="760F32EE" w:rsidR="000A556A" w:rsidRPr="008C4F32" w:rsidRDefault="008C4F32" w:rsidP="008C4F32">
      <w:pPr>
        <w:pStyle w:val="NormalWeb"/>
        <w:shd w:val="clear" w:color="auto" w:fill="FFFFFF"/>
        <w:spacing w:before="0"/>
        <w:jc w:val="both"/>
        <w:rPr>
          <w:rFonts w:ascii="Arial" w:hAnsi="Arial" w:cs="Arial"/>
          <w:color w:val="030303"/>
          <w:sz w:val="22"/>
          <w:szCs w:val="22"/>
        </w:rPr>
      </w:pPr>
      <w:r w:rsidRPr="008C4F32">
        <w:rPr>
          <w:rFonts w:ascii="Arial" w:hAnsi="Arial" w:cs="Arial"/>
          <w:b/>
          <w:bCs/>
          <w:color w:val="030303"/>
          <w:sz w:val="22"/>
          <w:szCs w:val="22"/>
        </w:rPr>
        <w:t>Think Measles</w:t>
      </w:r>
      <w:r w:rsidRPr="008C4F32">
        <w:rPr>
          <w:rFonts w:ascii="Arial" w:hAnsi="Arial" w:cs="Arial"/>
          <w:color w:val="030303"/>
          <w:sz w:val="22"/>
          <w:szCs w:val="22"/>
        </w:rPr>
        <w:t xml:space="preserve"> – use the attached poster and slide deck to help with diagnosing and risk assessments in case of a measles case at your practice. </w:t>
      </w:r>
    </w:p>
    <w:p w14:paraId="394D1CCA" w14:textId="0EC2C28D" w:rsidR="000A556A" w:rsidRPr="008C4F32" w:rsidRDefault="008C4F32" w:rsidP="008C4F32">
      <w:pPr>
        <w:pStyle w:val="NormalWeb"/>
        <w:shd w:val="clear" w:color="auto" w:fill="FFFFFF"/>
        <w:spacing w:before="0"/>
        <w:jc w:val="both"/>
        <w:rPr>
          <w:rFonts w:ascii="Arial" w:hAnsi="Arial" w:cs="Arial"/>
          <w:color w:val="030303"/>
          <w:sz w:val="22"/>
          <w:szCs w:val="22"/>
        </w:rPr>
      </w:pPr>
      <w:r w:rsidRPr="008C4F32">
        <w:rPr>
          <w:rFonts w:ascii="Arial" w:hAnsi="Arial" w:cs="Arial"/>
          <w:color w:val="030303"/>
          <w:sz w:val="22"/>
          <w:szCs w:val="22"/>
        </w:rPr>
        <w:lastRenderedPageBreak/>
        <w:t>Thank you for your ongoing and continued support.</w:t>
      </w:r>
    </w:p>
    <w:p w14:paraId="1A80F587" w14:textId="6D8DB995" w:rsidR="000A556A" w:rsidRPr="008C4F32" w:rsidRDefault="008C4F32" w:rsidP="008C4F32">
      <w:pPr>
        <w:pStyle w:val="NormalWeb"/>
        <w:shd w:val="clear" w:color="auto" w:fill="FFFFFF"/>
        <w:spacing w:before="0"/>
        <w:jc w:val="both"/>
        <w:rPr>
          <w:rFonts w:ascii="Arial" w:hAnsi="Arial" w:cs="Arial"/>
          <w:color w:val="030303"/>
          <w:sz w:val="22"/>
          <w:szCs w:val="22"/>
        </w:rPr>
      </w:pPr>
      <w:r w:rsidRPr="008C4F32">
        <w:rPr>
          <w:rFonts w:ascii="Arial" w:hAnsi="Arial" w:cs="Arial"/>
          <w:color w:val="030303"/>
          <w:sz w:val="22"/>
          <w:szCs w:val="22"/>
        </w:rPr>
        <w:t>Kind regards,</w:t>
      </w:r>
    </w:p>
    <w:p w14:paraId="72632738" w14:textId="56CE8310" w:rsidR="000A556A" w:rsidRPr="008C4F32" w:rsidRDefault="008C4F32" w:rsidP="008C4F32">
      <w:pPr>
        <w:pStyle w:val="NormalWeb"/>
        <w:shd w:val="clear" w:color="auto" w:fill="FFFFFF"/>
        <w:spacing w:before="0"/>
        <w:jc w:val="both"/>
        <w:rPr>
          <w:rFonts w:ascii="Arial" w:hAnsi="Arial" w:cs="Arial"/>
          <w:i/>
          <w:iCs/>
          <w:color w:val="030303"/>
          <w:sz w:val="22"/>
          <w:szCs w:val="22"/>
        </w:rPr>
      </w:pPr>
      <w:r w:rsidRPr="008C4F32">
        <w:rPr>
          <w:rFonts w:ascii="Arial" w:hAnsi="Arial" w:cs="Arial"/>
          <w:i/>
          <w:iCs/>
          <w:color w:val="030303"/>
          <w:sz w:val="22"/>
          <w:szCs w:val="22"/>
        </w:rPr>
        <w:t xml:space="preserve">Dr Dave Briggs, Medical Director at NHS </w:t>
      </w:r>
      <w:proofErr w:type="gramStart"/>
      <w:r w:rsidRPr="008C4F32">
        <w:rPr>
          <w:rFonts w:ascii="Arial" w:hAnsi="Arial" w:cs="Arial"/>
          <w:i/>
          <w:iCs/>
          <w:color w:val="030303"/>
          <w:sz w:val="22"/>
          <w:szCs w:val="22"/>
        </w:rPr>
        <w:t>Nottingham</w:t>
      </w:r>
      <w:proofErr w:type="gramEnd"/>
      <w:r w:rsidRPr="008C4F32">
        <w:rPr>
          <w:rFonts w:ascii="Arial" w:hAnsi="Arial" w:cs="Arial"/>
          <w:i/>
          <w:iCs/>
          <w:color w:val="030303"/>
          <w:sz w:val="22"/>
          <w:szCs w:val="22"/>
        </w:rPr>
        <w:t xml:space="preserve"> and Nottinghamshire ICB</w:t>
      </w:r>
    </w:p>
    <w:sectPr w:rsidR="000A556A" w:rsidRPr="008C4F3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826D" w14:textId="77777777" w:rsidR="001E6181" w:rsidRDefault="001E6181" w:rsidP="008C4F32">
      <w:pPr>
        <w:spacing w:after="0" w:line="240" w:lineRule="auto"/>
      </w:pPr>
      <w:r>
        <w:separator/>
      </w:r>
    </w:p>
  </w:endnote>
  <w:endnote w:type="continuationSeparator" w:id="0">
    <w:p w14:paraId="49ED5CBB" w14:textId="77777777" w:rsidR="001E6181" w:rsidRDefault="001E6181" w:rsidP="008C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C5F2" w14:textId="77777777" w:rsidR="001E6181" w:rsidRDefault="001E6181" w:rsidP="008C4F32">
      <w:pPr>
        <w:spacing w:after="0" w:line="240" w:lineRule="auto"/>
      </w:pPr>
      <w:r>
        <w:separator/>
      </w:r>
    </w:p>
  </w:footnote>
  <w:footnote w:type="continuationSeparator" w:id="0">
    <w:p w14:paraId="2B3FBAC5" w14:textId="77777777" w:rsidR="001E6181" w:rsidRDefault="001E6181" w:rsidP="008C4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6156" w14:textId="5AC000F1" w:rsidR="008C4F32" w:rsidRDefault="008C4F32">
    <w:pPr>
      <w:pStyle w:val="Header"/>
    </w:pPr>
    <w:r>
      <w:rPr>
        <w:noProof/>
      </w:rPr>
      <w:drawing>
        <wp:anchor distT="0" distB="0" distL="114300" distR="114300" simplePos="0" relativeHeight="251658240" behindDoc="1" locked="0" layoutInCell="1" allowOverlap="1" wp14:anchorId="12F10B40" wp14:editId="6D312D77">
          <wp:simplePos x="0" y="0"/>
          <wp:positionH relativeFrom="margin">
            <wp:posOffset>4154170</wp:posOffset>
          </wp:positionH>
          <wp:positionV relativeFrom="paragraph">
            <wp:posOffset>-449580</wp:posOffset>
          </wp:positionV>
          <wp:extent cx="1965325" cy="1390650"/>
          <wp:effectExtent l="0" t="0" r="0" b="0"/>
          <wp:wrapTight wrapText="bothSides">
            <wp:wrapPolygon edited="0">
              <wp:start x="14656" y="5030"/>
              <wp:lineTo x="12353" y="7101"/>
              <wp:lineTo x="8165" y="10060"/>
              <wp:lineTo x="7956" y="13611"/>
              <wp:lineTo x="8375" y="13907"/>
              <wp:lineTo x="12562" y="14499"/>
              <wp:lineTo x="14028" y="14499"/>
              <wp:lineTo x="20100" y="13907"/>
              <wp:lineTo x="21356" y="13315"/>
              <wp:lineTo x="20937" y="5030"/>
              <wp:lineTo x="14656" y="5030"/>
            </wp:wrapPolygon>
          </wp:wrapTight>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5325" cy="1390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54F45"/>
    <w:multiLevelType w:val="hybridMultilevel"/>
    <w:tmpl w:val="84B827EA"/>
    <w:lvl w:ilvl="0" w:tplc="9AD0832C">
      <w:start w:val="1"/>
      <w:numFmt w:val="bullet"/>
      <w:lvlText w:val="•"/>
      <w:lvlJc w:val="left"/>
      <w:pPr>
        <w:tabs>
          <w:tab w:val="num" w:pos="720"/>
        </w:tabs>
        <w:ind w:left="720" w:hanging="360"/>
      </w:pPr>
      <w:rPr>
        <w:rFonts w:ascii="Arial" w:hAnsi="Arial" w:hint="default"/>
      </w:rPr>
    </w:lvl>
    <w:lvl w:ilvl="1" w:tplc="B088DED0" w:tentative="1">
      <w:start w:val="1"/>
      <w:numFmt w:val="bullet"/>
      <w:lvlText w:val="•"/>
      <w:lvlJc w:val="left"/>
      <w:pPr>
        <w:tabs>
          <w:tab w:val="num" w:pos="1440"/>
        </w:tabs>
        <w:ind w:left="1440" w:hanging="360"/>
      </w:pPr>
      <w:rPr>
        <w:rFonts w:ascii="Arial" w:hAnsi="Arial" w:hint="default"/>
      </w:rPr>
    </w:lvl>
    <w:lvl w:ilvl="2" w:tplc="6E3C7B0C">
      <w:start w:val="1"/>
      <w:numFmt w:val="bullet"/>
      <w:lvlText w:val="•"/>
      <w:lvlJc w:val="left"/>
      <w:pPr>
        <w:tabs>
          <w:tab w:val="num" w:pos="2160"/>
        </w:tabs>
        <w:ind w:left="2160" w:hanging="360"/>
      </w:pPr>
      <w:rPr>
        <w:rFonts w:ascii="Arial" w:hAnsi="Arial" w:hint="default"/>
      </w:rPr>
    </w:lvl>
    <w:lvl w:ilvl="3" w:tplc="DD2C7462" w:tentative="1">
      <w:start w:val="1"/>
      <w:numFmt w:val="bullet"/>
      <w:lvlText w:val="•"/>
      <w:lvlJc w:val="left"/>
      <w:pPr>
        <w:tabs>
          <w:tab w:val="num" w:pos="2880"/>
        </w:tabs>
        <w:ind w:left="2880" w:hanging="360"/>
      </w:pPr>
      <w:rPr>
        <w:rFonts w:ascii="Arial" w:hAnsi="Arial" w:hint="default"/>
      </w:rPr>
    </w:lvl>
    <w:lvl w:ilvl="4" w:tplc="3F0AD830" w:tentative="1">
      <w:start w:val="1"/>
      <w:numFmt w:val="bullet"/>
      <w:lvlText w:val="•"/>
      <w:lvlJc w:val="left"/>
      <w:pPr>
        <w:tabs>
          <w:tab w:val="num" w:pos="3600"/>
        </w:tabs>
        <w:ind w:left="3600" w:hanging="360"/>
      </w:pPr>
      <w:rPr>
        <w:rFonts w:ascii="Arial" w:hAnsi="Arial" w:hint="default"/>
      </w:rPr>
    </w:lvl>
    <w:lvl w:ilvl="5" w:tplc="57A004F4" w:tentative="1">
      <w:start w:val="1"/>
      <w:numFmt w:val="bullet"/>
      <w:lvlText w:val="•"/>
      <w:lvlJc w:val="left"/>
      <w:pPr>
        <w:tabs>
          <w:tab w:val="num" w:pos="4320"/>
        </w:tabs>
        <w:ind w:left="4320" w:hanging="360"/>
      </w:pPr>
      <w:rPr>
        <w:rFonts w:ascii="Arial" w:hAnsi="Arial" w:hint="default"/>
      </w:rPr>
    </w:lvl>
    <w:lvl w:ilvl="6" w:tplc="6434B8C6" w:tentative="1">
      <w:start w:val="1"/>
      <w:numFmt w:val="bullet"/>
      <w:lvlText w:val="•"/>
      <w:lvlJc w:val="left"/>
      <w:pPr>
        <w:tabs>
          <w:tab w:val="num" w:pos="5040"/>
        </w:tabs>
        <w:ind w:left="5040" w:hanging="360"/>
      </w:pPr>
      <w:rPr>
        <w:rFonts w:ascii="Arial" w:hAnsi="Arial" w:hint="default"/>
      </w:rPr>
    </w:lvl>
    <w:lvl w:ilvl="7" w:tplc="11309AAA" w:tentative="1">
      <w:start w:val="1"/>
      <w:numFmt w:val="bullet"/>
      <w:lvlText w:val="•"/>
      <w:lvlJc w:val="left"/>
      <w:pPr>
        <w:tabs>
          <w:tab w:val="num" w:pos="5760"/>
        </w:tabs>
        <w:ind w:left="5760" w:hanging="360"/>
      </w:pPr>
      <w:rPr>
        <w:rFonts w:ascii="Arial" w:hAnsi="Arial" w:hint="default"/>
      </w:rPr>
    </w:lvl>
    <w:lvl w:ilvl="8" w:tplc="03623E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CC961EF"/>
    <w:multiLevelType w:val="hybridMultilevel"/>
    <w:tmpl w:val="9E2C7864"/>
    <w:lvl w:ilvl="0" w:tplc="35124D12">
      <w:start w:val="1"/>
      <w:numFmt w:val="bullet"/>
      <w:lvlText w:val="•"/>
      <w:lvlJc w:val="left"/>
      <w:pPr>
        <w:tabs>
          <w:tab w:val="num" w:pos="720"/>
        </w:tabs>
        <w:ind w:left="720" w:hanging="360"/>
      </w:pPr>
      <w:rPr>
        <w:rFonts w:ascii="Arial" w:hAnsi="Arial" w:hint="default"/>
      </w:rPr>
    </w:lvl>
    <w:lvl w:ilvl="1" w:tplc="19A05F48" w:tentative="1">
      <w:start w:val="1"/>
      <w:numFmt w:val="bullet"/>
      <w:lvlText w:val="•"/>
      <w:lvlJc w:val="left"/>
      <w:pPr>
        <w:tabs>
          <w:tab w:val="num" w:pos="1440"/>
        </w:tabs>
        <w:ind w:left="1440" w:hanging="360"/>
      </w:pPr>
      <w:rPr>
        <w:rFonts w:ascii="Arial" w:hAnsi="Arial" w:hint="default"/>
      </w:rPr>
    </w:lvl>
    <w:lvl w:ilvl="2" w:tplc="D35C2C20">
      <w:start w:val="1"/>
      <w:numFmt w:val="bullet"/>
      <w:lvlText w:val="•"/>
      <w:lvlJc w:val="left"/>
      <w:pPr>
        <w:tabs>
          <w:tab w:val="num" w:pos="2160"/>
        </w:tabs>
        <w:ind w:left="2160" w:hanging="360"/>
      </w:pPr>
      <w:rPr>
        <w:rFonts w:ascii="Arial" w:hAnsi="Arial" w:hint="default"/>
      </w:rPr>
    </w:lvl>
    <w:lvl w:ilvl="3" w:tplc="0F2C8240" w:tentative="1">
      <w:start w:val="1"/>
      <w:numFmt w:val="bullet"/>
      <w:lvlText w:val="•"/>
      <w:lvlJc w:val="left"/>
      <w:pPr>
        <w:tabs>
          <w:tab w:val="num" w:pos="2880"/>
        </w:tabs>
        <w:ind w:left="2880" w:hanging="360"/>
      </w:pPr>
      <w:rPr>
        <w:rFonts w:ascii="Arial" w:hAnsi="Arial" w:hint="default"/>
      </w:rPr>
    </w:lvl>
    <w:lvl w:ilvl="4" w:tplc="54049F36" w:tentative="1">
      <w:start w:val="1"/>
      <w:numFmt w:val="bullet"/>
      <w:lvlText w:val="•"/>
      <w:lvlJc w:val="left"/>
      <w:pPr>
        <w:tabs>
          <w:tab w:val="num" w:pos="3600"/>
        </w:tabs>
        <w:ind w:left="3600" w:hanging="360"/>
      </w:pPr>
      <w:rPr>
        <w:rFonts w:ascii="Arial" w:hAnsi="Arial" w:hint="default"/>
      </w:rPr>
    </w:lvl>
    <w:lvl w:ilvl="5" w:tplc="8166A24C" w:tentative="1">
      <w:start w:val="1"/>
      <w:numFmt w:val="bullet"/>
      <w:lvlText w:val="•"/>
      <w:lvlJc w:val="left"/>
      <w:pPr>
        <w:tabs>
          <w:tab w:val="num" w:pos="4320"/>
        </w:tabs>
        <w:ind w:left="4320" w:hanging="360"/>
      </w:pPr>
      <w:rPr>
        <w:rFonts w:ascii="Arial" w:hAnsi="Arial" w:hint="default"/>
      </w:rPr>
    </w:lvl>
    <w:lvl w:ilvl="6" w:tplc="E7204560" w:tentative="1">
      <w:start w:val="1"/>
      <w:numFmt w:val="bullet"/>
      <w:lvlText w:val="•"/>
      <w:lvlJc w:val="left"/>
      <w:pPr>
        <w:tabs>
          <w:tab w:val="num" w:pos="5040"/>
        </w:tabs>
        <w:ind w:left="5040" w:hanging="360"/>
      </w:pPr>
      <w:rPr>
        <w:rFonts w:ascii="Arial" w:hAnsi="Arial" w:hint="default"/>
      </w:rPr>
    </w:lvl>
    <w:lvl w:ilvl="7" w:tplc="E2BA96A6" w:tentative="1">
      <w:start w:val="1"/>
      <w:numFmt w:val="bullet"/>
      <w:lvlText w:val="•"/>
      <w:lvlJc w:val="left"/>
      <w:pPr>
        <w:tabs>
          <w:tab w:val="num" w:pos="5760"/>
        </w:tabs>
        <w:ind w:left="5760" w:hanging="360"/>
      </w:pPr>
      <w:rPr>
        <w:rFonts w:ascii="Arial" w:hAnsi="Arial" w:hint="default"/>
      </w:rPr>
    </w:lvl>
    <w:lvl w:ilvl="8" w:tplc="C784CE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E0731F"/>
    <w:multiLevelType w:val="hybridMultilevel"/>
    <w:tmpl w:val="81E47110"/>
    <w:lvl w:ilvl="0" w:tplc="D9169B5A">
      <w:start w:val="1"/>
      <w:numFmt w:val="bullet"/>
      <w:lvlText w:val="•"/>
      <w:lvlJc w:val="left"/>
      <w:pPr>
        <w:tabs>
          <w:tab w:val="num" w:pos="720"/>
        </w:tabs>
        <w:ind w:left="720" w:hanging="360"/>
      </w:pPr>
      <w:rPr>
        <w:rFonts w:ascii="Arial" w:hAnsi="Arial" w:hint="default"/>
      </w:rPr>
    </w:lvl>
    <w:lvl w:ilvl="1" w:tplc="5F04B210">
      <w:start w:val="1"/>
      <w:numFmt w:val="bullet"/>
      <w:lvlText w:val="•"/>
      <w:lvlJc w:val="left"/>
      <w:pPr>
        <w:tabs>
          <w:tab w:val="num" w:pos="1440"/>
        </w:tabs>
        <w:ind w:left="1440" w:hanging="360"/>
      </w:pPr>
      <w:rPr>
        <w:rFonts w:ascii="Arial" w:hAnsi="Arial" w:hint="default"/>
      </w:rPr>
    </w:lvl>
    <w:lvl w:ilvl="2" w:tplc="9D3A4E9A" w:tentative="1">
      <w:start w:val="1"/>
      <w:numFmt w:val="bullet"/>
      <w:lvlText w:val="•"/>
      <w:lvlJc w:val="left"/>
      <w:pPr>
        <w:tabs>
          <w:tab w:val="num" w:pos="2160"/>
        </w:tabs>
        <w:ind w:left="2160" w:hanging="360"/>
      </w:pPr>
      <w:rPr>
        <w:rFonts w:ascii="Arial" w:hAnsi="Arial" w:hint="default"/>
      </w:rPr>
    </w:lvl>
    <w:lvl w:ilvl="3" w:tplc="DAB885FE" w:tentative="1">
      <w:start w:val="1"/>
      <w:numFmt w:val="bullet"/>
      <w:lvlText w:val="•"/>
      <w:lvlJc w:val="left"/>
      <w:pPr>
        <w:tabs>
          <w:tab w:val="num" w:pos="2880"/>
        </w:tabs>
        <w:ind w:left="2880" w:hanging="360"/>
      </w:pPr>
      <w:rPr>
        <w:rFonts w:ascii="Arial" w:hAnsi="Arial" w:hint="default"/>
      </w:rPr>
    </w:lvl>
    <w:lvl w:ilvl="4" w:tplc="E4DC4D36" w:tentative="1">
      <w:start w:val="1"/>
      <w:numFmt w:val="bullet"/>
      <w:lvlText w:val="•"/>
      <w:lvlJc w:val="left"/>
      <w:pPr>
        <w:tabs>
          <w:tab w:val="num" w:pos="3600"/>
        </w:tabs>
        <w:ind w:left="3600" w:hanging="360"/>
      </w:pPr>
      <w:rPr>
        <w:rFonts w:ascii="Arial" w:hAnsi="Arial" w:hint="default"/>
      </w:rPr>
    </w:lvl>
    <w:lvl w:ilvl="5" w:tplc="936C1BA8" w:tentative="1">
      <w:start w:val="1"/>
      <w:numFmt w:val="bullet"/>
      <w:lvlText w:val="•"/>
      <w:lvlJc w:val="left"/>
      <w:pPr>
        <w:tabs>
          <w:tab w:val="num" w:pos="4320"/>
        </w:tabs>
        <w:ind w:left="4320" w:hanging="360"/>
      </w:pPr>
      <w:rPr>
        <w:rFonts w:ascii="Arial" w:hAnsi="Arial" w:hint="default"/>
      </w:rPr>
    </w:lvl>
    <w:lvl w:ilvl="6" w:tplc="7F56AD28" w:tentative="1">
      <w:start w:val="1"/>
      <w:numFmt w:val="bullet"/>
      <w:lvlText w:val="•"/>
      <w:lvlJc w:val="left"/>
      <w:pPr>
        <w:tabs>
          <w:tab w:val="num" w:pos="5040"/>
        </w:tabs>
        <w:ind w:left="5040" w:hanging="360"/>
      </w:pPr>
      <w:rPr>
        <w:rFonts w:ascii="Arial" w:hAnsi="Arial" w:hint="default"/>
      </w:rPr>
    </w:lvl>
    <w:lvl w:ilvl="7" w:tplc="83B8A984" w:tentative="1">
      <w:start w:val="1"/>
      <w:numFmt w:val="bullet"/>
      <w:lvlText w:val="•"/>
      <w:lvlJc w:val="left"/>
      <w:pPr>
        <w:tabs>
          <w:tab w:val="num" w:pos="5760"/>
        </w:tabs>
        <w:ind w:left="5760" w:hanging="360"/>
      </w:pPr>
      <w:rPr>
        <w:rFonts w:ascii="Arial" w:hAnsi="Arial" w:hint="default"/>
      </w:rPr>
    </w:lvl>
    <w:lvl w:ilvl="8" w:tplc="B2BA1F62" w:tentative="1">
      <w:start w:val="1"/>
      <w:numFmt w:val="bullet"/>
      <w:lvlText w:val="•"/>
      <w:lvlJc w:val="left"/>
      <w:pPr>
        <w:tabs>
          <w:tab w:val="num" w:pos="6480"/>
        </w:tabs>
        <w:ind w:left="6480" w:hanging="360"/>
      </w:pPr>
      <w:rPr>
        <w:rFonts w:ascii="Arial" w:hAnsi="Arial" w:hint="default"/>
      </w:rPr>
    </w:lvl>
  </w:abstractNum>
  <w:num w:numId="1" w16cid:durableId="1930892431">
    <w:abstractNumId w:val="2"/>
  </w:num>
  <w:num w:numId="2" w16cid:durableId="2045935120">
    <w:abstractNumId w:val="1"/>
  </w:num>
  <w:num w:numId="3" w16cid:durableId="88776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6A"/>
    <w:rsid w:val="000A556A"/>
    <w:rsid w:val="001E6181"/>
    <w:rsid w:val="00302AB1"/>
    <w:rsid w:val="004F70C8"/>
    <w:rsid w:val="00547185"/>
    <w:rsid w:val="007A66B2"/>
    <w:rsid w:val="008815B2"/>
    <w:rsid w:val="008C4F32"/>
    <w:rsid w:val="00A0494B"/>
    <w:rsid w:val="00AC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A941F"/>
  <w15:chartTrackingRefBased/>
  <w15:docId w15:val="{9528A1BD-7F20-4AE2-AC80-18675D24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55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A556A"/>
    <w:rPr>
      <w:color w:val="0000FF"/>
      <w:u w:val="single"/>
    </w:rPr>
  </w:style>
  <w:style w:type="character" w:styleId="FollowedHyperlink">
    <w:name w:val="FollowedHyperlink"/>
    <w:basedOn w:val="DefaultParagraphFont"/>
    <w:uiPriority w:val="99"/>
    <w:semiHidden/>
    <w:unhideWhenUsed/>
    <w:rsid w:val="000A556A"/>
    <w:rPr>
      <w:color w:val="954F72" w:themeColor="followedHyperlink"/>
      <w:u w:val="single"/>
    </w:rPr>
  </w:style>
  <w:style w:type="character" w:styleId="UnresolvedMention">
    <w:name w:val="Unresolved Mention"/>
    <w:basedOn w:val="DefaultParagraphFont"/>
    <w:uiPriority w:val="99"/>
    <w:semiHidden/>
    <w:unhideWhenUsed/>
    <w:rsid w:val="000A556A"/>
    <w:rPr>
      <w:color w:val="605E5C"/>
      <w:shd w:val="clear" w:color="auto" w:fill="E1DFDD"/>
    </w:rPr>
  </w:style>
  <w:style w:type="paragraph" w:styleId="ListParagraph">
    <w:name w:val="List Paragraph"/>
    <w:basedOn w:val="Normal"/>
    <w:uiPriority w:val="34"/>
    <w:qFormat/>
    <w:rsid w:val="000A556A"/>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C4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32"/>
  </w:style>
  <w:style w:type="paragraph" w:styleId="Footer">
    <w:name w:val="footer"/>
    <w:basedOn w:val="Normal"/>
    <w:link w:val="FooterChar"/>
    <w:uiPriority w:val="99"/>
    <w:unhideWhenUsed/>
    <w:rsid w:val="008C4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2890">
      <w:bodyDiv w:val="1"/>
      <w:marLeft w:val="0"/>
      <w:marRight w:val="0"/>
      <w:marTop w:val="0"/>
      <w:marBottom w:val="0"/>
      <w:divBdr>
        <w:top w:val="none" w:sz="0" w:space="0" w:color="auto"/>
        <w:left w:val="none" w:sz="0" w:space="0" w:color="auto"/>
        <w:bottom w:val="none" w:sz="0" w:space="0" w:color="auto"/>
        <w:right w:val="none" w:sz="0" w:space="0" w:color="auto"/>
      </w:divBdr>
    </w:div>
    <w:div w:id="1050034160">
      <w:bodyDiv w:val="1"/>
      <w:marLeft w:val="0"/>
      <w:marRight w:val="0"/>
      <w:marTop w:val="0"/>
      <w:marBottom w:val="0"/>
      <w:divBdr>
        <w:top w:val="none" w:sz="0" w:space="0" w:color="auto"/>
        <w:left w:val="none" w:sz="0" w:space="0" w:color="auto"/>
        <w:bottom w:val="none" w:sz="0" w:space="0" w:color="auto"/>
        <w:right w:val="none" w:sz="0" w:space="0" w:color="auto"/>
      </w:divBdr>
      <w:divsChild>
        <w:div w:id="765923963">
          <w:marLeft w:val="1080"/>
          <w:marRight w:val="0"/>
          <w:marTop w:val="100"/>
          <w:marBottom w:val="0"/>
          <w:divBdr>
            <w:top w:val="none" w:sz="0" w:space="0" w:color="auto"/>
            <w:left w:val="none" w:sz="0" w:space="0" w:color="auto"/>
            <w:bottom w:val="none" w:sz="0" w:space="0" w:color="auto"/>
            <w:right w:val="none" w:sz="0" w:space="0" w:color="auto"/>
          </w:divBdr>
        </w:div>
        <w:div w:id="167253336">
          <w:marLeft w:val="1080"/>
          <w:marRight w:val="0"/>
          <w:marTop w:val="100"/>
          <w:marBottom w:val="0"/>
          <w:divBdr>
            <w:top w:val="none" w:sz="0" w:space="0" w:color="auto"/>
            <w:left w:val="none" w:sz="0" w:space="0" w:color="auto"/>
            <w:bottom w:val="none" w:sz="0" w:space="0" w:color="auto"/>
            <w:right w:val="none" w:sz="0" w:space="0" w:color="auto"/>
          </w:divBdr>
        </w:div>
        <w:div w:id="450132679">
          <w:marLeft w:val="1080"/>
          <w:marRight w:val="0"/>
          <w:marTop w:val="100"/>
          <w:marBottom w:val="0"/>
          <w:divBdr>
            <w:top w:val="none" w:sz="0" w:space="0" w:color="auto"/>
            <w:left w:val="none" w:sz="0" w:space="0" w:color="auto"/>
            <w:bottom w:val="none" w:sz="0" w:space="0" w:color="auto"/>
            <w:right w:val="none" w:sz="0" w:space="0" w:color="auto"/>
          </w:divBdr>
        </w:div>
      </w:divsChild>
    </w:div>
    <w:div w:id="1050610752">
      <w:bodyDiv w:val="1"/>
      <w:marLeft w:val="0"/>
      <w:marRight w:val="0"/>
      <w:marTop w:val="0"/>
      <w:marBottom w:val="0"/>
      <w:divBdr>
        <w:top w:val="none" w:sz="0" w:space="0" w:color="auto"/>
        <w:left w:val="none" w:sz="0" w:space="0" w:color="auto"/>
        <w:bottom w:val="none" w:sz="0" w:space="0" w:color="auto"/>
        <w:right w:val="none" w:sz="0" w:space="0" w:color="auto"/>
      </w:divBdr>
      <w:divsChild>
        <w:div w:id="1327594983">
          <w:marLeft w:val="360"/>
          <w:marRight w:val="0"/>
          <w:marTop w:val="200"/>
          <w:marBottom w:val="0"/>
          <w:divBdr>
            <w:top w:val="none" w:sz="0" w:space="0" w:color="auto"/>
            <w:left w:val="none" w:sz="0" w:space="0" w:color="auto"/>
            <w:bottom w:val="none" w:sz="0" w:space="0" w:color="auto"/>
            <w:right w:val="none" w:sz="0" w:space="0" w:color="auto"/>
          </w:divBdr>
        </w:div>
      </w:divsChild>
    </w:div>
    <w:div w:id="1245869991">
      <w:bodyDiv w:val="1"/>
      <w:marLeft w:val="0"/>
      <w:marRight w:val="0"/>
      <w:marTop w:val="0"/>
      <w:marBottom w:val="0"/>
      <w:divBdr>
        <w:top w:val="none" w:sz="0" w:space="0" w:color="auto"/>
        <w:left w:val="none" w:sz="0" w:space="0" w:color="auto"/>
        <w:bottom w:val="none" w:sz="0" w:space="0" w:color="auto"/>
        <w:right w:val="none" w:sz="0" w:space="0" w:color="auto"/>
      </w:divBdr>
      <w:divsChild>
        <w:div w:id="7994174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primarycarebulletin.cmail20.com%2Ft%2Fd-l-vuutujk-juijbuhdy-u%2F&amp;data=05%7C02%7Cclaire.deeley%40nhs.net%7Ce48749f145414bb2d42e08dc2367c4de%7C37c354b285b047f5b22207b48d774ee3%7C0%7C1%7C638424175818233858%7CUnknown%7CTWFpbGZsb3d8eyJWIjoiMC4wLjAwMDAiLCJQIjoiV2luMzIiLCJBTiI6Ik1haWwiLCJXVCI6Mn0%3D%7C0%7C%7C%7C&amp;sdata=kBrG3t0kWbkmKQGcKc5X46nl7eqapnKS84yPcqhuYAI%3D&amp;reserved=0" TargetMode="External"/><Relationship Id="rId13" Type="http://schemas.openxmlformats.org/officeDocument/2006/relationships/hyperlink" Target="https://assets.publishing.service.gov.uk/media/5a7abc09e5274a319e77a5b9/Green-Book-Chapter-12.pdf"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primarycarebulletin.cmail20.com%2Ft%2Fd-l-vuutujk-juijbuhdy-k%2F&amp;data=05%7C02%7Cclaire.deeley%40nhs.net%7Ce48749f145414bb2d42e08dc2367c4de%7C37c354b285b047f5b22207b48d774ee3%7C0%7C1%7C638424175818227987%7CUnknown%7CTWFpbGZsb3d8eyJWIjoiMC4wLjAwMDAiLCJQIjoiV2luMzIiLCJBTiI6Ik1haWwiLCJXVCI6Mn0%3D%7C0%7C%7C%7C&amp;sdata=Z%2BLuLeXGrvW%2B%2B64K20Ju5hPzDVlMweeK0S1Szerm2EI%3D&amp;reserved=0" TargetMode="External"/><Relationship Id="rId12" Type="http://schemas.openxmlformats.org/officeDocument/2006/relationships/hyperlink" Target="https://notts.icb.nhs.uk/mm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primarycarebulletin.cmail20.com%2Ft%2Fd-l-vuutujk-juijbuhdy-n%2F&amp;data=05%7C02%7Cclaire.deeley%40nhs.net%7Ce48749f145414bb2d42e08dc2367c4de%7C37c354b285b047f5b22207b48d774ee3%7C0%7C1%7C638424175818250487%7CUnknown%7CTWFpbGZsb3d8eyJWIjoiMC4wLjAwMDAiLCJQIjoiV2luMzIiLCJBTiI6Ik1haWwiLCJXVCI6Mn0%3D%7C0%7C%7C%7C&amp;sdata=gd0jkwn4QHz8oq%2BpI4XeNln2612KT7Nfc%2F47iHZbgks%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br01.safelinks.protection.outlook.com/?url=https%3A%2F%2Fprimarycarebulletin.cmail20.com%2Ft%2Fd-l-vuutujk-juijbuhdy-b%2F&amp;data=05%7C02%7Cclaire.deeley%40nhs.net%7Ce48749f145414bb2d42e08dc2367c4de%7C37c354b285b047f5b22207b48d774ee3%7C0%7C1%7C638424175818244877%7CUnknown%7CTWFpbGZsb3d8eyJWIjoiMC4wLjAwMDAiLCJQIjoiV2luMzIiLCJBTiI6Ik1haWwiLCJXVCI6Mn0%3D%7C0%7C%7C%7C&amp;sdata=uUoFxOoxIHDzv5HpTrRk9mfSBXxuktbay7EefiRQlY4%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primarycarebulletin.cmail20.com%2Ft%2Fd-l-vuutujk-juijbuhdy-o%2F&amp;data=05%7C02%7Cclaire.deeley%40nhs.net%7Ce48749f145414bb2d42e08dc2367c4de%7C37c354b285b047f5b22207b48d774ee3%7C0%7C1%7C638424175818239229%7CUnknown%7CTWFpbGZsb3d8eyJWIjoiMC4wLjAwMDAiLCJQIjoiV2luMzIiLCJBTiI6Ik1haWwiLCJXVCI6Mn0%3D%7C0%7C%7C%7C&amp;sdata=cA5N0P7ZeA70kRuuMfd5w8lrhyZ1KWzkCG5TKCohEyw%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Hannah (NHS NOTTINGHAM AND NOTTINGHAMSHIRE ICB - 52R)</dc:creator>
  <cp:keywords/>
  <dc:description/>
  <cp:lastModifiedBy>MITCHELL, Hannah (NHS NOTTINGHAM AND NOTTINGHAMSHIRE ICB - 52R)</cp:lastModifiedBy>
  <cp:revision>2</cp:revision>
  <dcterms:created xsi:type="dcterms:W3CDTF">2024-02-06T09:20:00Z</dcterms:created>
  <dcterms:modified xsi:type="dcterms:W3CDTF">2024-02-06T09:20:00Z</dcterms:modified>
</cp:coreProperties>
</file>