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373E" w14:textId="77777777" w:rsidR="002B261A" w:rsidRPr="004F349A" w:rsidRDefault="002B261A" w:rsidP="00410628">
      <w:pPr>
        <w:jc w:val="center"/>
        <w:rPr>
          <w:b/>
          <w:bCs/>
          <w:sz w:val="24"/>
          <w:szCs w:val="24"/>
          <w:u w:val="single"/>
        </w:rPr>
      </w:pPr>
    </w:p>
    <w:p w14:paraId="5C53956E" w14:textId="790DE345" w:rsidR="00BC11D4" w:rsidRPr="004F349A" w:rsidRDefault="00410628" w:rsidP="00410628">
      <w:pPr>
        <w:jc w:val="center"/>
        <w:rPr>
          <w:b/>
          <w:bCs/>
          <w:sz w:val="24"/>
          <w:szCs w:val="24"/>
          <w:u w:val="single"/>
        </w:rPr>
      </w:pPr>
      <w:r w:rsidRPr="004F349A">
        <w:rPr>
          <w:b/>
          <w:bCs/>
          <w:sz w:val="24"/>
          <w:szCs w:val="24"/>
          <w:u w:val="single"/>
        </w:rPr>
        <w:t xml:space="preserve">NHSE </w:t>
      </w:r>
      <w:r w:rsidR="004F349A" w:rsidRPr="004F349A">
        <w:rPr>
          <w:rFonts w:ascii="Arial" w:hAnsi="Arial" w:cs="Arial"/>
          <w:b/>
          <w:bCs/>
          <w:sz w:val="21"/>
          <w:szCs w:val="21"/>
          <w:u w:val="single"/>
          <w:shd w:val="clear" w:color="auto" w:fill="FFFFFF"/>
        </w:rPr>
        <w:t>PALLIATIVE</w:t>
      </w:r>
      <w:r w:rsidR="004F349A" w:rsidRPr="004F349A">
        <w:rPr>
          <w:rFonts w:ascii="Arial" w:hAnsi="Arial" w:cs="Arial"/>
          <w:b/>
          <w:bCs/>
          <w:sz w:val="21"/>
          <w:szCs w:val="21"/>
          <w:u w:val="single"/>
          <w:shd w:val="clear" w:color="auto" w:fill="FFFFFF"/>
        </w:rPr>
        <w:t xml:space="preserve"> </w:t>
      </w:r>
      <w:r w:rsidR="004F349A" w:rsidRPr="004F349A">
        <w:rPr>
          <w:rFonts w:ascii="Arial" w:hAnsi="Arial" w:cs="Arial"/>
          <w:b/>
          <w:bCs/>
          <w:sz w:val="21"/>
          <w:szCs w:val="21"/>
          <w:u w:val="single"/>
          <w:shd w:val="clear" w:color="auto" w:fill="FFFFFF"/>
        </w:rPr>
        <w:t>AND</w:t>
      </w:r>
      <w:r w:rsidR="004F349A" w:rsidRPr="004F349A">
        <w:rPr>
          <w:rFonts w:ascii="Arial" w:hAnsi="Arial" w:cs="Arial"/>
          <w:b/>
          <w:bCs/>
          <w:sz w:val="21"/>
          <w:szCs w:val="21"/>
          <w:u w:val="single"/>
          <w:shd w:val="clear" w:color="auto" w:fill="FFFFFF"/>
        </w:rPr>
        <w:t xml:space="preserve"> </w:t>
      </w:r>
      <w:r w:rsidR="004F349A" w:rsidRPr="004F349A">
        <w:rPr>
          <w:rFonts w:ascii="Arial" w:hAnsi="Arial" w:cs="Arial"/>
          <w:b/>
          <w:bCs/>
          <w:sz w:val="21"/>
          <w:szCs w:val="21"/>
          <w:u w:val="single"/>
          <w:shd w:val="clear" w:color="auto" w:fill="FFFFFF"/>
        </w:rPr>
        <w:t>END</w:t>
      </w:r>
      <w:r w:rsidR="004F349A" w:rsidRPr="004F349A">
        <w:rPr>
          <w:rFonts w:ascii="Arial" w:hAnsi="Arial" w:cs="Arial"/>
          <w:b/>
          <w:bCs/>
          <w:sz w:val="21"/>
          <w:szCs w:val="21"/>
          <w:u w:val="single"/>
          <w:shd w:val="clear" w:color="auto" w:fill="FFFFFF"/>
        </w:rPr>
        <w:t xml:space="preserve"> </w:t>
      </w:r>
      <w:r w:rsidR="004F349A" w:rsidRPr="004F349A">
        <w:rPr>
          <w:rFonts w:ascii="Arial" w:hAnsi="Arial" w:cs="Arial"/>
          <w:b/>
          <w:bCs/>
          <w:sz w:val="21"/>
          <w:szCs w:val="21"/>
          <w:u w:val="single"/>
          <w:shd w:val="clear" w:color="auto" w:fill="FFFFFF"/>
        </w:rPr>
        <w:t>OF</w:t>
      </w:r>
      <w:r w:rsidR="004F349A" w:rsidRPr="004F349A">
        <w:rPr>
          <w:rFonts w:ascii="Arial" w:hAnsi="Arial" w:cs="Arial"/>
          <w:b/>
          <w:bCs/>
          <w:sz w:val="21"/>
          <w:szCs w:val="21"/>
          <w:u w:val="single"/>
          <w:shd w:val="clear" w:color="auto" w:fill="FFFFFF"/>
        </w:rPr>
        <w:t xml:space="preserve"> </w:t>
      </w:r>
      <w:r w:rsidR="004F349A" w:rsidRPr="004F349A">
        <w:rPr>
          <w:rFonts w:ascii="Arial" w:hAnsi="Arial" w:cs="Arial"/>
          <w:b/>
          <w:bCs/>
          <w:sz w:val="21"/>
          <w:szCs w:val="21"/>
          <w:u w:val="single"/>
          <w:shd w:val="clear" w:color="auto" w:fill="FFFFFF"/>
        </w:rPr>
        <w:t>LIFE</w:t>
      </w:r>
      <w:r w:rsidR="004F349A" w:rsidRPr="004F349A">
        <w:rPr>
          <w:rFonts w:ascii="Arial" w:hAnsi="Arial" w:cs="Arial"/>
          <w:b/>
          <w:bCs/>
          <w:sz w:val="21"/>
          <w:szCs w:val="21"/>
          <w:u w:val="single"/>
          <w:shd w:val="clear" w:color="auto" w:fill="FFFFFF"/>
        </w:rPr>
        <w:t xml:space="preserve"> </w:t>
      </w:r>
      <w:r w:rsidR="004F349A" w:rsidRPr="004F349A">
        <w:rPr>
          <w:rFonts w:ascii="Arial" w:hAnsi="Arial" w:cs="Arial"/>
          <w:b/>
          <w:bCs/>
          <w:sz w:val="21"/>
          <w:szCs w:val="21"/>
          <w:u w:val="single"/>
          <w:shd w:val="clear" w:color="auto" w:fill="FFFFFF"/>
        </w:rPr>
        <w:t>CARE</w:t>
      </w:r>
      <w:r w:rsidR="004F349A" w:rsidRPr="004F349A">
        <w:rPr>
          <w:b/>
          <w:bCs/>
          <w:sz w:val="24"/>
          <w:szCs w:val="24"/>
          <w:u w:val="single"/>
        </w:rPr>
        <w:t xml:space="preserve"> (</w:t>
      </w:r>
      <w:proofErr w:type="spellStart"/>
      <w:r w:rsidRPr="004F349A">
        <w:rPr>
          <w:b/>
          <w:bCs/>
          <w:sz w:val="24"/>
          <w:szCs w:val="24"/>
          <w:u w:val="single"/>
        </w:rPr>
        <w:t>PE</w:t>
      </w:r>
      <w:r w:rsidR="004F349A" w:rsidRPr="004F349A">
        <w:rPr>
          <w:b/>
          <w:bCs/>
          <w:sz w:val="24"/>
          <w:szCs w:val="24"/>
          <w:u w:val="single"/>
        </w:rPr>
        <w:t>o</w:t>
      </w:r>
      <w:r w:rsidRPr="004F349A">
        <w:rPr>
          <w:b/>
          <w:bCs/>
          <w:sz w:val="24"/>
          <w:szCs w:val="24"/>
          <w:u w:val="single"/>
        </w:rPr>
        <w:t>LC</w:t>
      </w:r>
      <w:proofErr w:type="spellEnd"/>
      <w:r w:rsidR="004F349A" w:rsidRPr="004F349A">
        <w:rPr>
          <w:b/>
          <w:bCs/>
          <w:sz w:val="24"/>
          <w:szCs w:val="24"/>
          <w:u w:val="single"/>
        </w:rPr>
        <w:t>)</w:t>
      </w:r>
      <w:r w:rsidRPr="004F349A">
        <w:rPr>
          <w:b/>
          <w:bCs/>
          <w:sz w:val="24"/>
          <w:szCs w:val="24"/>
          <w:u w:val="single"/>
        </w:rPr>
        <w:t xml:space="preserve"> FUNDING APPLICATION </w:t>
      </w:r>
    </w:p>
    <w:p w14:paraId="5DA7221F" w14:textId="77777777" w:rsidR="00410628" w:rsidRPr="00663EA6" w:rsidRDefault="00410628" w:rsidP="00410628">
      <w:pPr>
        <w:rPr>
          <w:rFonts w:cstheme="minorHAnsi"/>
          <w:sz w:val="24"/>
          <w:szCs w:val="24"/>
        </w:rPr>
      </w:pPr>
    </w:p>
    <w:p w14:paraId="6439C054" w14:textId="65077BA9" w:rsidR="00663EA6" w:rsidRPr="00663EA6" w:rsidRDefault="00663EA6" w:rsidP="00410628">
      <w:pPr>
        <w:rPr>
          <w:rFonts w:cstheme="minorHAnsi"/>
          <w:bCs/>
          <w:color w:val="000000" w:themeColor="text1"/>
          <w:sz w:val="24"/>
          <w:szCs w:val="24"/>
        </w:rPr>
      </w:pPr>
      <w:r w:rsidRPr="00663EA6">
        <w:rPr>
          <w:rFonts w:cstheme="minorHAnsi"/>
          <w:bCs/>
          <w:color w:val="000000" w:themeColor="text1"/>
          <w:sz w:val="24"/>
          <w:szCs w:val="24"/>
        </w:rPr>
        <w:t>The national PEoLC Delivery Plan and supporting core metrics recognise the importance of equitable access to high quality PEoLC for all irrelevant of diagnosis or condition, in line with the Long-Term Plan commitment. This is further outlined in the ICB Statutory Guidance and supporting Handbook, that high quality PEoLC requires multi-disciplinary teams to work collaboratively across health and care, including VCSE partners.</w:t>
      </w:r>
    </w:p>
    <w:p w14:paraId="5E0D03AE" w14:textId="08264D05" w:rsidR="00663EA6" w:rsidRPr="00663EA6" w:rsidRDefault="00663EA6" w:rsidP="00410628">
      <w:pPr>
        <w:rPr>
          <w:rFonts w:cstheme="minorHAnsi"/>
          <w:sz w:val="24"/>
          <w:szCs w:val="24"/>
        </w:rPr>
      </w:pPr>
      <w:r w:rsidRPr="00663EA6">
        <w:rPr>
          <w:rFonts w:cstheme="minorHAnsi"/>
          <w:sz w:val="24"/>
          <w:szCs w:val="24"/>
        </w:rPr>
        <w:t xml:space="preserve">The PEoLC team have been given some non-recurrent funding for systems to support winter. </w:t>
      </w:r>
      <w:r w:rsidR="00081C41">
        <w:rPr>
          <w:rFonts w:cstheme="minorHAnsi"/>
          <w:sz w:val="24"/>
          <w:szCs w:val="24"/>
        </w:rPr>
        <w:t>The</w:t>
      </w:r>
      <w:r w:rsidRPr="00663EA6">
        <w:rPr>
          <w:rFonts w:cstheme="minorHAnsi"/>
          <w:sz w:val="24"/>
          <w:szCs w:val="24"/>
        </w:rPr>
        <w:t xml:space="preserve"> total amount </w:t>
      </w:r>
      <w:r w:rsidRPr="00663EA6">
        <w:rPr>
          <w:rFonts w:cstheme="minorHAnsi"/>
          <w:i/>
          <w:iCs/>
          <w:sz w:val="24"/>
          <w:szCs w:val="24"/>
          <w:u w:val="single"/>
        </w:rPr>
        <w:t xml:space="preserve">per ICB </w:t>
      </w:r>
      <w:r w:rsidR="00081C41">
        <w:rPr>
          <w:rFonts w:cstheme="minorHAnsi"/>
          <w:i/>
          <w:iCs/>
          <w:sz w:val="24"/>
          <w:szCs w:val="24"/>
          <w:u w:val="single"/>
        </w:rPr>
        <w:t>is</w:t>
      </w:r>
      <w:r w:rsidRPr="00663EA6">
        <w:rPr>
          <w:rFonts w:cstheme="minorHAnsi"/>
          <w:i/>
          <w:iCs/>
          <w:sz w:val="24"/>
          <w:szCs w:val="24"/>
          <w:u w:val="single"/>
        </w:rPr>
        <w:t xml:space="preserve"> £12,000.</w:t>
      </w:r>
      <w:r w:rsidRPr="00663EA6">
        <w:rPr>
          <w:rFonts w:cstheme="minorHAnsi"/>
          <w:sz w:val="24"/>
          <w:szCs w:val="24"/>
        </w:rPr>
        <w:t xml:space="preserve"> The funding would need to be allocated within the 23/24 financial year. </w:t>
      </w:r>
    </w:p>
    <w:p w14:paraId="13A56467" w14:textId="7399CA2E" w:rsidR="00410628" w:rsidRPr="00FA22C1" w:rsidRDefault="00663EA6" w:rsidP="00410628">
      <w:pPr>
        <w:rPr>
          <w:rFonts w:cstheme="minorHAnsi"/>
          <w:b/>
          <w:bCs/>
          <w:sz w:val="24"/>
          <w:szCs w:val="24"/>
        </w:rPr>
      </w:pPr>
      <w:r w:rsidRPr="00663EA6">
        <w:rPr>
          <w:rFonts w:cstheme="minorHAnsi"/>
          <w:sz w:val="24"/>
          <w:szCs w:val="24"/>
        </w:rPr>
        <w:t xml:space="preserve">NHSE have specified </w:t>
      </w:r>
      <w:r w:rsidR="00410628" w:rsidRPr="00663EA6">
        <w:rPr>
          <w:rFonts w:cstheme="minorHAnsi"/>
          <w:sz w:val="24"/>
          <w:szCs w:val="24"/>
        </w:rPr>
        <w:t xml:space="preserve">that the non-recurrent funding be utilised within the Voluntary, Community or Social Enterprise (VCSE) or Local Authority sector to </w:t>
      </w:r>
      <w:r w:rsidR="00410628" w:rsidRPr="00FA22C1">
        <w:rPr>
          <w:rFonts w:cstheme="minorHAnsi"/>
          <w:b/>
          <w:bCs/>
          <w:sz w:val="24"/>
          <w:szCs w:val="24"/>
        </w:rPr>
        <w:t>increase the capacity/bolster existing services of 24/7 access to minimise inappropriate admissions and/or expedite discharges this winter.</w:t>
      </w:r>
      <w:r w:rsidRPr="00FA22C1">
        <w:rPr>
          <w:rFonts w:cstheme="minorHAnsi"/>
          <w:b/>
          <w:bCs/>
          <w:sz w:val="24"/>
          <w:szCs w:val="24"/>
        </w:rPr>
        <w:t xml:space="preserve"> </w:t>
      </w:r>
    </w:p>
    <w:p w14:paraId="004D9F03" w14:textId="77777777" w:rsidR="00663EA6" w:rsidRPr="00663EA6" w:rsidRDefault="00663EA6" w:rsidP="00663EA6">
      <w:pPr>
        <w:rPr>
          <w:rFonts w:cstheme="minorHAnsi"/>
          <w:bCs/>
          <w:color w:val="000000" w:themeColor="text1"/>
          <w:sz w:val="24"/>
          <w:szCs w:val="24"/>
        </w:rPr>
      </w:pPr>
      <w:r w:rsidRPr="00663EA6">
        <w:rPr>
          <w:rFonts w:cstheme="minorHAnsi"/>
          <w:bCs/>
          <w:color w:val="000000" w:themeColor="text1"/>
          <w:sz w:val="24"/>
          <w:szCs w:val="24"/>
        </w:rPr>
        <w:t>The measurements will consist of reporting of 24/7 access in Q3 2024/25 to demonstrate increase in the reach of 24/7 services and clear articulation of how the funding was used in the voluntary sector.</w:t>
      </w:r>
    </w:p>
    <w:p w14:paraId="6C3E6B92" w14:textId="16682AD9" w:rsidR="00663EA6" w:rsidRPr="00663EA6" w:rsidRDefault="00663EA6" w:rsidP="00663EA6">
      <w:pPr>
        <w:rPr>
          <w:rFonts w:cstheme="minorHAnsi"/>
          <w:color w:val="000000" w:themeColor="text1"/>
          <w:sz w:val="24"/>
          <w:szCs w:val="24"/>
        </w:rPr>
      </w:pPr>
      <w:r w:rsidRPr="00663EA6">
        <w:rPr>
          <w:rFonts w:cstheme="minorHAnsi"/>
          <w:color w:val="000000" w:themeColor="text1"/>
          <w:sz w:val="24"/>
          <w:szCs w:val="24"/>
        </w:rPr>
        <w:t xml:space="preserve">The objectives are to: </w:t>
      </w:r>
    </w:p>
    <w:p w14:paraId="31B1BF7E" w14:textId="77777777" w:rsidR="00663EA6" w:rsidRPr="00663EA6" w:rsidRDefault="00663EA6" w:rsidP="00663EA6">
      <w:pPr>
        <w:pStyle w:val="ListParagraph"/>
        <w:numPr>
          <w:ilvl w:val="0"/>
          <w:numId w:val="1"/>
        </w:numPr>
        <w:spacing w:before="240" w:after="0"/>
        <w:rPr>
          <w:rFonts w:asciiTheme="minorHAnsi" w:hAnsiTheme="minorHAnsi" w:cstheme="minorHAnsi"/>
          <w:color w:val="000000" w:themeColor="text1"/>
          <w:sz w:val="24"/>
          <w:szCs w:val="24"/>
        </w:rPr>
      </w:pPr>
      <w:r w:rsidRPr="00663EA6">
        <w:rPr>
          <w:rFonts w:asciiTheme="minorHAnsi" w:hAnsiTheme="minorHAnsi" w:cstheme="minorHAnsi"/>
          <w:color w:val="000000" w:themeColor="text1"/>
          <w:sz w:val="24"/>
          <w:szCs w:val="24"/>
        </w:rPr>
        <w:t>Support Derby &amp; Derbyshire ICB to contribute to achieving the PEoLC Delivery Plan objective to improve access across the health and care system, building on delivery to date.</w:t>
      </w:r>
    </w:p>
    <w:p w14:paraId="0B0C1D91" w14:textId="62C5C93A" w:rsidR="00663EA6" w:rsidRPr="00663EA6" w:rsidRDefault="00663EA6" w:rsidP="00663EA6">
      <w:pPr>
        <w:pStyle w:val="ListParagraph"/>
        <w:numPr>
          <w:ilvl w:val="0"/>
          <w:numId w:val="1"/>
        </w:numPr>
        <w:spacing w:before="240" w:after="0"/>
        <w:rPr>
          <w:rFonts w:asciiTheme="minorHAnsi" w:hAnsiTheme="minorHAnsi" w:cstheme="minorHAnsi"/>
          <w:color w:val="000000" w:themeColor="text1"/>
          <w:sz w:val="24"/>
          <w:szCs w:val="24"/>
        </w:rPr>
      </w:pPr>
      <w:r w:rsidRPr="00663EA6">
        <w:rPr>
          <w:rFonts w:asciiTheme="minorHAnsi" w:hAnsiTheme="minorHAnsi" w:cstheme="minorHAnsi"/>
          <w:color w:val="000000" w:themeColor="text1"/>
          <w:sz w:val="24"/>
          <w:szCs w:val="24"/>
        </w:rPr>
        <w:t>Generate further evidence of how 24/7 access is improving for people and communities and embedding approaches for sustainable increase of access to PEoLC.</w:t>
      </w:r>
    </w:p>
    <w:p w14:paraId="313F6C03" w14:textId="22BB5ECD" w:rsidR="00663EA6" w:rsidRPr="00081C41" w:rsidRDefault="00663EA6" w:rsidP="00663EA6">
      <w:pPr>
        <w:spacing w:before="240" w:after="0"/>
        <w:rPr>
          <w:rFonts w:cstheme="minorHAnsi"/>
          <w:color w:val="000000" w:themeColor="text1"/>
          <w:sz w:val="24"/>
          <w:szCs w:val="24"/>
        </w:rPr>
      </w:pPr>
      <w:r w:rsidRPr="00081C41">
        <w:rPr>
          <w:rFonts w:cstheme="minorHAnsi"/>
          <w:color w:val="000000" w:themeColor="text1"/>
          <w:sz w:val="24"/>
          <w:szCs w:val="24"/>
        </w:rPr>
        <w:t xml:space="preserve">If you would like to apply for the £12,000, please provide an outline of the proposal below. </w:t>
      </w:r>
      <w:r w:rsidR="00081C41" w:rsidRPr="00081C41">
        <w:rPr>
          <w:rFonts w:cstheme="minorHAnsi"/>
          <w:color w:val="000000" w:themeColor="text1"/>
          <w:sz w:val="24"/>
          <w:szCs w:val="24"/>
        </w:rPr>
        <w:t xml:space="preserve">Please include: </w:t>
      </w:r>
    </w:p>
    <w:p w14:paraId="00157883" w14:textId="73FC2685" w:rsidR="00081C41" w:rsidRDefault="00081C41" w:rsidP="00081C41">
      <w:pPr>
        <w:pStyle w:val="ListParagraph"/>
        <w:numPr>
          <w:ilvl w:val="0"/>
          <w:numId w:val="2"/>
        </w:numPr>
        <w:spacing w:before="240" w:after="0"/>
        <w:rPr>
          <w:rFonts w:cstheme="minorHAnsi"/>
          <w:b/>
          <w:bCs/>
          <w:color w:val="000000" w:themeColor="text1"/>
          <w:sz w:val="24"/>
          <w:szCs w:val="24"/>
        </w:rPr>
      </w:pPr>
      <w:r>
        <w:rPr>
          <w:rFonts w:cstheme="minorHAnsi"/>
          <w:b/>
          <w:bCs/>
          <w:color w:val="000000" w:themeColor="text1"/>
          <w:sz w:val="24"/>
          <w:szCs w:val="24"/>
        </w:rPr>
        <w:t>How the proposal supports improved 24/7 access for PE</w:t>
      </w:r>
      <w:r w:rsidR="001D461B">
        <w:rPr>
          <w:rFonts w:cstheme="minorHAnsi"/>
          <w:b/>
          <w:bCs/>
          <w:color w:val="000000" w:themeColor="text1"/>
          <w:sz w:val="24"/>
          <w:szCs w:val="24"/>
        </w:rPr>
        <w:t>o</w:t>
      </w:r>
      <w:r>
        <w:rPr>
          <w:rFonts w:cstheme="minorHAnsi"/>
          <w:b/>
          <w:bCs/>
          <w:color w:val="000000" w:themeColor="text1"/>
          <w:sz w:val="24"/>
          <w:szCs w:val="24"/>
        </w:rPr>
        <w:t>L</w:t>
      </w:r>
      <w:r w:rsidR="001D461B">
        <w:rPr>
          <w:rFonts w:cstheme="minorHAnsi"/>
          <w:b/>
          <w:bCs/>
          <w:color w:val="000000" w:themeColor="text1"/>
          <w:sz w:val="24"/>
          <w:szCs w:val="24"/>
        </w:rPr>
        <w:t>C</w:t>
      </w:r>
    </w:p>
    <w:p w14:paraId="2CAEC5B0" w14:textId="263E874F" w:rsidR="006660EA" w:rsidRPr="00081C41" w:rsidRDefault="006660EA" w:rsidP="00081C41">
      <w:pPr>
        <w:pStyle w:val="ListParagraph"/>
        <w:numPr>
          <w:ilvl w:val="0"/>
          <w:numId w:val="2"/>
        </w:numPr>
        <w:spacing w:before="240" w:after="0"/>
        <w:rPr>
          <w:rFonts w:cstheme="minorHAnsi"/>
          <w:b/>
          <w:bCs/>
          <w:color w:val="000000" w:themeColor="text1"/>
          <w:sz w:val="24"/>
          <w:szCs w:val="24"/>
        </w:rPr>
      </w:pPr>
      <w:r>
        <w:rPr>
          <w:rFonts w:cstheme="minorHAnsi"/>
          <w:b/>
          <w:bCs/>
          <w:color w:val="000000" w:themeColor="text1"/>
          <w:sz w:val="24"/>
          <w:szCs w:val="24"/>
        </w:rPr>
        <w:t xml:space="preserve">Any anticipated </w:t>
      </w:r>
      <w:r w:rsidR="005E22BF">
        <w:rPr>
          <w:rFonts w:cstheme="minorHAnsi"/>
          <w:b/>
          <w:bCs/>
          <w:color w:val="000000" w:themeColor="text1"/>
          <w:sz w:val="24"/>
          <w:szCs w:val="24"/>
        </w:rPr>
        <w:t xml:space="preserve">improved </w:t>
      </w:r>
      <w:r>
        <w:rPr>
          <w:rFonts w:cstheme="minorHAnsi"/>
          <w:b/>
          <w:bCs/>
          <w:color w:val="000000" w:themeColor="text1"/>
          <w:sz w:val="24"/>
          <w:szCs w:val="24"/>
        </w:rPr>
        <w:t>outcomes in addition to those mentioned above</w:t>
      </w:r>
    </w:p>
    <w:p w14:paraId="66C8D698" w14:textId="15CAFB16" w:rsidR="00081C41" w:rsidRDefault="00081C41" w:rsidP="00081C41">
      <w:pPr>
        <w:pStyle w:val="ListParagraph"/>
        <w:numPr>
          <w:ilvl w:val="0"/>
          <w:numId w:val="2"/>
        </w:numPr>
        <w:spacing w:before="240" w:after="0"/>
        <w:rPr>
          <w:rFonts w:cstheme="minorHAnsi"/>
          <w:b/>
          <w:bCs/>
          <w:color w:val="000000" w:themeColor="text1"/>
          <w:sz w:val="24"/>
          <w:szCs w:val="24"/>
        </w:rPr>
      </w:pPr>
      <w:r>
        <w:rPr>
          <w:rFonts w:cstheme="minorHAnsi"/>
          <w:b/>
          <w:bCs/>
          <w:color w:val="000000" w:themeColor="text1"/>
          <w:sz w:val="24"/>
          <w:szCs w:val="24"/>
        </w:rPr>
        <w:t>Cost/activity breakdown</w:t>
      </w:r>
    </w:p>
    <w:p w14:paraId="0E7BEBFE" w14:textId="55E03356" w:rsidR="00081C41" w:rsidRDefault="00081C41" w:rsidP="00081C41">
      <w:pPr>
        <w:pStyle w:val="ListParagraph"/>
        <w:numPr>
          <w:ilvl w:val="0"/>
          <w:numId w:val="2"/>
        </w:numPr>
        <w:spacing w:before="240" w:after="0"/>
        <w:rPr>
          <w:rFonts w:cstheme="minorHAnsi"/>
          <w:b/>
          <w:bCs/>
          <w:color w:val="000000" w:themeColor="text1"/>
          <w:sz w:val="24"/>
          <w:szCs w:val="24"/>
        </w:rPr>
      </w:pPr>
      <w:r>
        <w:rPr>
          <w:rFonts w:cstheme="minorHAnsi"/>
          <w:b/>
          <w:bCs/>
          <w:color w:val="000000" w:themeColor="text1"/>
          <w:sz w:val="24"/>
          <w:szCs w:val="24"/>
        </w:rPr>
        <w:t>Delivery Timeframes</w:t>
      </w:r>
    </w:p>
    <w:p w14:paraId="4D20DC4E" w14:textId="1231D4AB" w:rsidR="00DA18CC" w:rsidRPr="00DA18CC" w:rsidRDefault="00DA18CC" w:rsidP="00DA18CC">
      <w:pPr>
        <w:spacing w:before="240" w:after="0"/>
        <w:rPr>
          <w:rFonts w:cstheme="minorHAnsi"/>
          <w:color w:val="000000" w:themeColor="text1"/>
          <w:sz w:val="24"/>
          <w:szCs w:val="24"/>
        </w:rPr>
      </w:pPr>
      <w:r w:rsidRPr="00DA18CC">
        <w:rPr>
          <w:rFonts w:cstheme="minorHAnsi"/>
          <w:color w:val="000000" w:themeColor="text1"/>
          <w:sz w:val="24"/>
          <w:szCs w:val="24"/>
        </w:rPr>
        <w:t xml:space="preserve">(Maximum </w:t>
      </w:r>
      <w:proofErr w:type="gramStart"/>
      <w:r w:rsidRPr="00DA18CC">
        <w:rPr>
          <w:rFonts w:cstheme="minorHAnsi"/>
          <w:color w:val="000000" w:themeColor="text1"/>
          <w:sz w:val="24"/>
          <w:szCs w:val="24"/>
        </w:rPr>
        <w:t>1500 word</w:t>
      </w:r>
      <w:proofErr w:type="gramEnd"/>
      <w:r w:rsidRPr="00DA18CC">
        <w:rPr>
          <w:rFonts w:cstheme="minorHAnsi"/>
          <w:color w:val="000000" w:themeColor="text1"/>
          <w:sz w:val="24"/>
          <w:szCs w:val="24"/>
        </w:rPr>
        <w:t xml:space="preserve"> limit)</w:t>
      </w:r>
    </w:p>
    <w:p w14:paraId="27E15853" w14:textId="396C1AB7" w:rsidR="00461183" w:rsidRPr="00461183" w:rsidRDefault="00461183" w:rsidP="00461183">
      <w:pPr>
        <w:spacing w:before="240" w:after="0"/>
        <w:rPr>
          <w:rFonts w:cstheme="minorHAnsi"/>
          <w:b/>
          <w:bCs/>
          <w:color w:val="000000" w:themeColor="text1"/>
          <w:sz w:val="24"/>
          <w:szCs w:val="24"/>
        </w:rPr>
      </w:pPr>
      <w:r>
        <w:rPr>
          <w:rFonts w:cstheme="minorHAnsi"/>
          <w:b/>
          <w:bCs/>
          <w:color w:val="000000" w:themeColor="text1"/>
          <w:sz w:val="24"/>
          <w:szCs w:val="24"/>
        </w:rPr>
        <w:t xml:space="preserve">Please submit your application to </w:t>
      </w:r>
      <w:hyperlink r:id="rId7" w:history="1">
        <w:r w:rsidRPr="009A7E75">
          <w:rPr>
            <w:rStyle w:val="Hyperlink"/>
            <w:rFonts w:cstheme="minorHAnsi"/>
            <w:b/>
            <w:bCs/>
            <w:sz w:val="24"/>
            <w:szCs w:val="24"/>
          </w:rPr>
          <w:t>uzma.rani1@nhs.net</w:t>
        </w:r>
      </w:hyperlink>
      <w:r>
        <w:rPr>
          <w:rFonts w:cstheme="minorHAnsi"/>
          <w:b/>
          <w:bCs/>
          <w:color w:val="000000" w:themeColor="text1"/>
          <w:sz w:val="24"/>
          <w:szCs w:val="24"/>
        </w:rPr>
        <w:t xml:space="preserve"> by Friday 16</w:t>
      </w:r>
      <w:r w:rsidRPr="00461183">
        <w:rPr>
          <w:rFonts w:cstheme="minorHAnsi"/>
          <w:b/>
          <w:bCs/>
          <w:color w:val="000000" w:themeColor="text1"/>
          <w:sz w:val="24"/>
          <w:szCs w:val="24"/>
          <w:vertAlign w:val="superscript"/>
        </w:rPr>
        <w:t>th</w:t>
      </w:r>
      <w:r>
        <w:rPr>
          <w:rFonts w:cstheme="minorHAnsi"/>
          <w:b/>
          <w:bCs/>
          <w:color w:val="000000" w:themeColor="text1"/>
          <w:sz w:val="24"/>
          <w:szCs w:val="24"/>
        </w:rPr>
        <w:t xml:space="preserve"> February 2024</w:t>
      </w:r>
    </w:p>
    <w:p w14:paraId="0DB34E06" w14:textId="6545E340" w:rsidR="00081C41" w:rsidRDefault="00081C41" w:rsidP="00663EA6">
      <w:pPr>
        <w:spacing w:before="240" w:after="0"/>
        <w:rPr>
          <w:rFonts w:cstheme="minorHAnsi"/>
          <w:color w:val="000000" w:themeColor="text1"/>
          <w:sz w:val="24"/>
          <w:szCs w:val="24"/>
        </w:rPr>
      </w:pPr>
    </w:p>
    <w:p w14:paraId="4B6C6C33" w14:textId="77777777" w:rsidR="00081C41" w:rsidRPr="00663EA6" w:rsidRDefault="00081C41" w:rsidP="00663EA6">
      <w:pPr>
        <w:spacing w:before="240" w:after="0"/>
        <w:rPr>
          <w:rFonts w:cstheme="minorHAnsi"/>
          <w:color w:val="000000" w:themeColor="text1"/>
          <w:sz w:val="24"/>
          <w:szCs w:val="24"/>
        </w:rPr>
      </w:pPr>
    </w:p>
    <w:p w14:paraId="37635FE1" w14:textId="77777777" w:rsidR="00663EA6" w:rsidRPr="00663EA6" w:rsidRDefault="00663EA6" w:rsidP="00410628">
      <w:pPr>
        <w:rPr>
          <w:rFonts w:cstheme="minorHAnsi"/>
          <w:sz w:val="24"/>
          <w:szCs w:val="24"/>
        </w:rPr>
      </w:pPr>
    </w:p>
    <w:p w14:paraId="1DED7843" w14:textId="409CFAFA" w:rsidR="00081C41" w:rsidRDefault="00081C41">
      <w:pPr>
        <w:rPr>
          <w:rFonts w:cstheme="minorHAnsi"/>
          <w:sz w:val="24"/>
          <w:szCs w:val="24"/>
        </w:rPr>
      </w:pPr>
      <w:r>
        <w:rPr>
          <w:rFonts w:cstheme="minorHAnsi"/>
          <w:sz w:val="24"/>
          <w:szCs w:val="24"/>
        </w:rPr>
        <w:br w:type="page"/>
      </w:r>
    </w:p>
    <w:p w14:paraId="61551133" w14:textId="77777777" w:rsidR="00663EA6" w:rsidRPr="00663EA6" w:rsidRDefault="00663EA6" w:rsidP="00410628">
      <w:pPr>
        <w:rPr>
          <w:rFonts w:cstheme="minorHAnsi"/>
          <w:sz w:val="24"/>
          <w:szCs w:val="24"/>
        </w:rPr>
      </w:pPr>
    </w:p>
    <w:p w14:paraId="546B62AD" w14:textId="77777777" w:rsidR="00410628" w:rsidRPr="00663EA6" w:rsidRDefault="00410628" w:rsidP="00410628">
      <w:pPr>
        <w:rPr>
          <w:rFonts w:cstheme="minorHAnsi"/>
          <w:sz w:val="24"/>
          <w:szCs w:val="24"/>
        </w:rPr>
      </w:pPr>
    </w:p>
    <w:sectPr w:rsidR="00410628" w:rsidRPr="00663E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580F" w14:textId="77777777" w:rsidR="00CB13B3" w:rsidRDefault="00CB13B3" w:rsidP="002B261A">
      <w:pPr>
        <w:spacing w:after="0" w:line="240" w:lineRule="auto"/>
      </w:pPr>
      <w:r>
        <w:separator/>
      </w:r>
    </w:p>
  </w:endnote>
  <w:endnote w:type="continuationSeparator" w:id="0">
    <w:p w14:paraId="041FA5A7" w14:textId="77777777" w:rsidR="00CB13B3" w:rsidRDefault="00CB13B3" w:rsidP="002B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AB72" w14:textId="77777777" w:rsidR="00CB13B3" w:rsidRDefault="00CB13B3" w:rsidP="002B261A">
      <w:pPr>
        <w:spacing w:after="0" w:line="240" w:lineRule="auto"/>
      </w:pPr>
      <w:r>
        <w:separator/>
      </w:r>
    </w:p>
  </w:footnote>
  <w:footnote w:type="continuationSeparator" w:id="0">
    <w:p w14:paraId="70410AAD" w14:textId="77777777" w:rsidR="00CB13B3" w:rsidRDefault="00CB13B3" w:rsidP="002B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29BE" w14:textId="3CCE6D59" w:rsidR="002B261A" w:rsidRDefault="002B261A">
    <w:pPr>
      <w:pStyle w:val="Header"/>
    </w:pPr>
    <w:r>
      <w:rPr>
        <w:noProof/>
      </w:rPr>
      <w:drawing>
        <wp:anchor distT="0" distB="0" distL="114300" distR="114300" simplePos="0" relativeHeight="251659264" behindDoc="1" locked="0" layoutInCell="1" allowOverlap="1" wp14:anchorId="5645CE0A" wp14:editId="2C2392E1">
          <wp:simplePos x="0" y="0"/>
          <wp:positionH relativeFrom="margin">
            <wp:posOffset>4445000</wp:posOffset>
          </wp:positionH>
          <wp:positionV relativeFrom="paragraph">
            <wp:posOffset>-318135</wp:posOffset>
          </wp:positionV>
          <wp:extent cx="2037600" cy="813600"/>
          <wp:effectExtent l="0" t="0" r="1270" b="5715"/>
          <wp:wrapTight wrapText="bothSides">
            <wp:wrapPolygon edited="0">
              <wp:start x="0" y="0"/>
              <wp:lineTo x="0" y="21246"/>
              <wp:lineTo x="21411" y="21246"/>
              <wp:lineTo x="214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600" cy="81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117C1"/>
    <w:multiLevelType w:val="hybridMultilevel"/>
    <w:tmpl w:val="E6FA97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CBB7212"/>
    <w:multiLevelType w:val="hybridMultilevel"/>
    <w:tmpl w:val="EF70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431419">
    <w:abstractNumId w:val="0"/>
  </w:num>
  <w:num w:numId="2" w16cid:durableId="182526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MzG3MLIwMrYwNTRS0lEKTi0uzszPAykwrAUAk3lA1CwAAAA="/>
  </w:docVars>
  <w:rsids>
    <w:rsidRoot w:val="00106E0F"/>
    <w:rsid w:val="00081C41"/>
    <w:rsid w:val="00106E0F"/>
    <w:rsid w:val="001D461B"/>
    <w:rsid w:val="00277268"/>
    <w:rsid w:val="002B261A"/>
    <w:rsid w:val="00410628"/>
    <w:rsid w:val="00461183"/>
    <w:rsid w:val="004F349A"/>
    <w:rsid w:val="005E22BF"/>
    <w:rsid w:val="00663EA6"/>
    <w:rsid w:val="006660EA"/>
    <w:rsid w:val="007B234F"/>
    <w:rsid w:val="00A31FF6"/>
    <w:rsid w:val="00B478C3"/>
    <w:rsid w:val="00B716A4"/>
    <w:rsid w:val="00BC11D4"/>
    <w:rsid w:val="00CB13B3"/>
    <w:rsid w:val="00CB4436"/>
    <w:rsid w:val="00DA18CC"/>
    <w:rsid w:val="00FA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895E"/>
  <w15:chartTrackingRefBased/>
  <w15:docId w15:val="{8AE55DA1-09CB-4AB8-894D-564617F0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63EA6"/>
    <w:pPr>
      <w:ind w:left="720"/>
      <w:contextualSpacing/>
    </w:pPr>
    <w:rPr>
      <w:rFonts w:ascii="Calibri" w:eastAsia="Calibri" w:hAnsi="Calibri" w:cs="Times New Roman"/>
      <w:kern w:val="0"/>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63EA6"/>
    <w:rPr>
      <w:rFonts w:ascii="Calibri" w:eastAsia="Calibri" w:hAnsi="Calibri" w:cs="Times New Roman"/>
      <w:kern w:val="0"/>
      <w14:ligatures w14:val="none"/>
    </w:rPr>
  </w:style>
  <w:style w:type="paragraph" w:styleId="Header">
    <w:name w:val="header"/>
    <w:basedOn w:val="Normal"/>
    <w:link w:val="HeaderChar"/>
    <w:uiPriority w:val="99"/>
    <w:unhideWhenUsed/>
    <w:rsid w:val="002B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61A"/>
  </w:style>
  <w:style w:type="paragraph" w:styleId="Footer">
    <w:name w:val="footer"/>
    <w:basedOn w:val="Normal"/>
    <w:link w:val="FooterChar"/>
    <w:uiPriority w:val="99"/>
    <w:unhideWhenUsed/>
    <w:rsid w:val="002B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61A"/>
  </w:style>
  <w:style w:type="character" w:styleId="Hyperlink">
    <w:name w:val="Hyperlink"/>
    <w:basedOn w:val="DefaultParagraphFont"/>
    <w:uiPriority w:val="99"/>
    <w:unhideWhenUsed/>
    <w:rsid w:val="00461183"/>
    <w:rPr>
      <w:color w:val="0000FF" w:themeColor="hyperlink"/>
      <w:u w:val="single"/>
    </w:rPr>
  </w:style>
  <w:style w:type="character" w:styleId="UnresolvedMention">
    <w:name w:val="Unresolved Mention"/>
    <w:basedOn w:val="DefaultParagraphFont"/>
    <w:uiPriority w:val="99"/>
    <w:semiHidden/>
    <w:unhideWhenUsed/>
    <w:rsid w:val="0046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zma.rani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Uzma (NHS DERBY AND DERBYSHIRE ICB - 15M)</dc:creator>
  <cp:keywords/>
  <dc:description/>
  <cp:lastModifiedBy>BURGESS, Clare (NHS DERBY AND DERBYSHIRE ICB - 15M)</cp:lastModifiedBy>
  <cp:revision>3</cp:revision>
  <dcterms:created xsi:type="dcterms:W3CDTF">2024-01-29T09:49:00Z</dcterms:created>
  <dcterms:modified xsi:type="dcterms:W3CDTF">2024-01-31T09:01:00Z</dcterms:modified>
</cp:coreProperties>
</file>